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E" w:rsidRPr="00781340" w:rsidRDefault="00173165" w:rsidP="0037535E">
      <w:pPr>
        <w:tabs>
          <w:tab w:val="left" w:pos="4850"/>
          <w:tab w:val="center" w:pos="5032"/>
        </w:tabs>
        <w:ind w:firstLine="567"/>
        <w:contextualSpacing/>
        <w:jc w:val="center"/>
        <w:rPr>
          <w:sz w:val="28"/>
          <w:szCs w:val="28"/>
        </w:rPr>
      </w:pPr>
      <w:r>
        <w:rPr>
          <w:sz w:val="28"/>
          <w:szCs w:val="28"/>
        </w:rPr>
        <w:t>ОТЧЕТ</w:t>
      </w:r>
    </w:p>
    <w:p w:rsidR="000208E3" w:rsidRDefault="00173165" w:rsidP="0037535E">
      <w:pPr>
        <w:ind w:firstLine="709"/>
        <w:contextualSpacing/>
        <w:jc w:val="center"/>
        <w:rPr>
          <w:sz w:val="28"/>
          <w:szCs w:val="28"/>
        </w:rPr>
      </w:pPr>
      <w:r>
        <w:rPr>
          <w:sz w:val="28"/>
          <w:szCs w:val="28"/>
        </w:rPr>
        <w:t>по проверке</w:t>
      </w:r>
      <w:r w:rsidR="0037535E">
        <w:rPr>
          <w:sz w:val="28"/>
          <w:szCs w:val="28"/>
        </w:rPr>
        <w:t xml:space="preserve"> </w:t>
      </w:r>
      <w:r w:rsidR="000208E3">
        <w:rPr>
          <w:sz w:val="28"/>
          <w:szCs w:val="28"/>
        </w:rPr>
        <w:t xml:space="preserve">Управления образования </w:t>
      </w:r>
    </w:p>
    <w:p w:rsidR="0037535E" w:rsidRPr="00781340" w:rsidRDefault="000208E3" w:rsidP="0037535E">
      <w:pPr>
        <w:ind w:firstLine="709"/>
        <w:contextualSpacing/>
        <w:jc w:val="center"/>
        <w:rPr>
          <w:sz w:val="28"/>
          <w:szCs w:val="28"/>
        </w:rPr>
      </w:pPr>
      <w:r>
        <w:rPr>
          <w:sz w:val="28"/>
          <w:szCs w:val="28"/>
        </w:rPr>
        <w:t xml:space="preserve">администрации </w:t>
      </w:r>
      <w:r w:rsidR="0037535E">
        <w:rPr>
          <w:sz w:val="28"/>
          <w:szCs w:val="28"/>
        </w:rPr>
        <w:t xml:space="preserve">муниципального образования «Город Адыгейск» </w:t>
      </w:r>
    </w:p>
    <w:p w:rsidR="0037535E" w:rsidRDefault="0037535E" w:rsidP="0037535E">
      <w:pPr>
        <w:jc w:val="center"/>
        <w:rPr>
          <w:sz w:val="28"/>
          <w:szCs w:val="28"/>
        </w:rPr>
      </w:pPr>
    </w:p>
    <w:p w:rsidR="0037535E" w:rsidRDefault="0037535E" w:rsidP="0037535E">
      <w:pPr>
        <w:jc w:val="both"/>
        <w:rPr>
          <w:sz w:val="28"/>
          <w:szCs w:val="28"/>
        </w:rPr>
      </w:pPr>
      <w:r>
        <w:rPr>
          <w:sz w:val="28"/>
          <w:szCs w:val="28"/>
        </w:rPr>
        <w:t xml:space="preserve"> г. </w:t>
      </w:r>
      <w:r w:rsidRPr="00014746">
        <w:rPr>
          <w:sz w:val="28"/>
          <w:szCs w:val="28"/>
        </w:rPr>
        <w:t xml:space="preserve">Адыгейск                                     </w:t>
      </w:r>
      <w:r>
        <w:rPr>
          <w:sz w:val="28"/>
          <w:szCs w:val="28"/>
        </w:rPr>
        <w:t xml:space="preserve">        </w:t>
      </w:r>
      <w:r w:rsidRPr="00014746">
        <w:rPr>
          <w:sz w:val="28"/>
          <w:szCs w:val="28"/>
        </w:rPr>
        <w:t xml:space="preserve">                                 </w:t>
      </w:r>
      <w:r w:rsidR="007948CC">
        <w:rPr>
          <w:sz w:val="28"/>
          <w:szCs w:val="28"/>
        </w:rPr>
        <w:t xml:space="preserve">   </w:t>
      </w:r>
      <w:r w:rsidRPr="00014746">
        <w:rPr>
          <w:sz w:val="28"/>
          <w:szCs w:val="28"/>
        </w:rPr>
        <w:t xml:space="preserve">        </w:t>
      </w:r>
      <w:r w:rsidR="00173165">
        <w:rPr>
          <w:sz w:val="28"/>
          <w:szCs w:val="28"/>
        </w:rPr>
        <w:t>15</w:t>
      </w:r>
      <w:r w:rsidR="00793662">
        <w:rPr>
          <w:sz w:val="28"/>
          <w:szCs w:val="28"/>
        </w:rPr>
        <w:t>.1</w:t>
      </w:r>
      <w:r w:rsidR="00173165">
        <w:rPr>
          <w:sz w:val="28"/>
          <w:szCs w:val="28"/>
        </w:rPr>
        <w:t>1</w:t>
      </w:r>
      <w:r w:rsidRPr="00DC67D3">
        <w:rPr>
          <w:sz w:val="28"/>
          <w:szCs w:val="28"/>
        </w:rPr>
        <w:t>.202</w:t>
      </w:r>
      <w:r w:rsidR="00793662">
        <w:rPr>
          <w:sz w:val="28"/>
          <w:szCs w:val="28"/>
        </w:rPr>
        <w:t>3</w:t>
      </w:r>
      <w:r w:rsidRPr="00DC67D3">
        <w:rPr>
          <w:sz w:val="28"/>
          <w:szCs w:val="28"/>
        </w:rPr>
        <w:t xml:space="preserve"> </w:t>
      </w:r>
      <w:r w:rsidRPr="00F42BFA">
        <w:rPr>
          <w:sz w:val="28"/>
          <w:szCs w:val="28"/>
        </w:rPr>
        <w:t>г.</w:t>
      </w:r>
    </w:p>
    <w:p w:rsidR="0037535E" w:rsidRDefault="0037535E" w:rsidP="0037535E">
      <w:pPr>
        <w:jc w:val="both"/>
        <w:rPr>
          <w:sz w:val="28"/>
          <w:szCs w:val="28"/>
        </w:rPr>
      </w:pPr>
      <w:r>
        <w:rPr>
          <w:sz w:val="28"/>
          <w:szCs w:val="28"/>
        </w:rPr>
        <w:t xml:space="preserve"> </w:t>
      </w:r>
    </w:p>
    <w:p w:rsidR="00885298" w:rsidRPr="00173165" w:rsidRDefault="00885298" w:rsidP="00885298">
      <w:pPr>
        <w:jc w:val="both"/>
      </w:pPr>
    </w:p>
    <w:p w:rsidR="00323FD3" w:rsidRPr="00173165" w:rsidRDefault="00885298" w:rsidP="00173165">
      <w:pPr>
        <w:shd w:val="clear" w:color="auto" w:fill="FFFFFF"/>
        <w:tabs>
          <w:tab w:val="left" w:pos="490"/>
          <w:tab w:val="left" w:leader="underscore" w:pos="5693"/>
        </w:tabs>
        <w:ind w:firstLine="540"/>
        <w:jc w:val="both"/>
        <w:rPr>
          <w:b/>
        </w:rPr>
      </w:pPr>
      <w:r w:rsidRPr="00173165">
        <w:rPr>
          <w:spacing w:val="2"/>
        </w:rPr>
        <w:t>На основании плана проверок Контрольно-счетной палаты</w:t>
      </w:r>
      <w:r w:rsidRPr="00173165">
        <w:t xml:space="preserve"> и удостоверения на право проведения проверки от </w:t>
      </w:r>
      <w:r w:rsidR="000A2587" w:rsidRPr="00173165">
        <w:t>0</w:t>
      </w:r>
      <w:r w:rsidR="00793662" w:rsidRPr="00173165">
        <w:t>4</w:t>
      </w:r>
      <w:r w:rsidRPr="00173165">
        <w:t>.0</w:t>
      </w:r>
      <w:r w:rsidR="00793662" w:rsidRPr="00173165">
        <w:t>9</w:t>
      </w:r>
      <w:r w:rsidRPr="00173165">
        <w:t>.20</w:t>
      </w:r>
      <w:r w:rsidR="000A2587" w:rsidRPr="00173165">
        <w:t>2</w:t>
      </w:r>
      <w:r w:rsidR="00793662" w:rsidRPr="00173165">
        <w:t>3</w:t>
      </w:r>
      <w:r w:rsidRPr="00173165">
        <w:t>г</w:t>
      </w:r>
      <w:r w:rsidR="00001A9D" w:rsidRPr="00173165">
        <w:t>.</w:t>
      </w:r>
      <w:r w:rsidRPr="00173165">
        <w:t xml:space="preserve"> № </w:t>
      </w:r>
      <w:r w:rsidR="00793662" w:rsidRPr="00173165">
        <w:t>8</w:t>
      </w:r>
      <w:r w:rsidRPr="00173165">
        <w:t xml:space="preserve">, выданного председателем </w:t>
      </w:r>
      <w:r w:rsidRPr="00173165">
        <w:rPr>
          <w:spacing w:val="2"/>
        </w:rPr>
        <w:t xml:space="preserve">Контрольно-счетной палаты МО «Город Адыгейск» </w:t>
      </w:r>
      <w:r w:rsidRPr="00173165">
        <w:t xml:space="preserve">в соответствии </w:t>
      </w:r>
      <w:r w:rsidRPr="00173165">
        <w:rPr>
          <w:spacing w:val="2"/>
        </w:rPr>
        <w:t xml:space="preserve">Решением Совета народных депутатов от </w:t>
      </w:r>
      <w:r w:rsidR="00793662" w:rsidRPr="00173165">
        <w:rPr>
          <w:spacing w:val="2"/>
        </w:rPr>
        <w:t>16.21</w:t>
      </w:r>
      <w:r w:rsidR="000A2587" w:rsidRPr="00173165">
        <w:rPr>
          <w:spacing w:val="2"/>
        </w:rPr>
        <w:t>.20</w:t>
      </w:r>
      <w:r w:rsidR="00793662" w:rsidRPr="00173165">
        <w:rPr>
          <w:spacing w:val="2"/>
        </w:rPr>
        <w:t>21</w:t>
      </w:r>
      <w:r w:rsidR="000A2587" w:rsidRPr="00173165">
        <w:rPr>
          <w:spacing w:val="2"/>
        </w:rPr>
        <w:t xml:space="preserve"> года № 1</w:t>
      </w:r>
      <w:r w:rsidR="00793662" w:rsidRPr="00173165">
        <w:rPr>
          <w:spacing w:val="2"/>
        </w:rPr>
        <w:t>17</w:t>
      </w:r>
      <w:r w:rsidR="000A2587" w:rsidRPr="00173165">
        <w:rPr>
          <w:spacing w:val="2"/>
        </w:rPr>
        <w:t xml:space="preserve"> </w:t>
      </w:r>
      <w:r w:rsidRPr="00173165">
        <w:rPr>
          <w:spacing w:val="2"/>
        </w:rPr>
        <w:t>«О Контрольно-счетной палате МО «Город Адыгейск»</w:t>
      </w:r>
      <w:r w:rsidRPr="00173165">
        <w:t xml:space="preserve">, председателем </w:t>
      </w:r>
      <w:r w:rsidRPr="00173165">
        <w:rPr>
          <w:spacing w:val="2"/>
        </w:rPr>
        <w:t xml:space="preserve">Контрольно-счетной палаты МО «Город Адыгейск» Джамирзе В.Ч. и </w:t>
      </w:r>
      <w:r w:rsidR="00793662" w:rsidRPr="00173165">
        <w:rPr>
          <w:spacing w:val="2"/>
        </w:rPr>
        <w:t>главным инспектором</w:t>
      </w:r>
      <w:r w:rsidRPr="00173165">
        <w:rPr>
          <w:spacing w:val="2"/>
        </w:rPr>
        <w:t xml:space="preserve"> Контрольно-счетной палаты МО «Город Адыгейск» Хачмамук З.К.  </w:t>
      </w:r>
      <w:r w:rsidRPr="00173165">
        <w:t xml:space="preserve">проведена проверка </w:t>
      </w:r>
      <w:r w:rsidRPr="00173165">
        <w:rPr>
          <w:spacing w:val="2"/>
        </w:rPr>
        <w:t>Управления образования МО «Город Адыгейск»</w:t>
      </w:r>
      <w:r w:rsidRPr="00173165">
        <w:t xml:space="preserve"> (далее – Управление образования)</w:t>
      </w:r>
      <w:r w:rsidRPr="00173165">
        <w:rPr>
          <w:spacing w:val="2"/>
        </w:rPr>
        <w:t xml:space="preserve"> </w:t>
      </w:r>
      <w:r w:rsidRPr="00173165">
        <w:t>за период с 01.01.20</w:t>
      </w:r>
      <w:r w:rsidR="00D1466D" w:rsidRPr="00173165">
        <w:t>2</w:t>
      </w:r>
      <w:r w:rsidR="00793662" w:rsidRPr="00173165">
        <w:t>2</w:t>
      </w:r>
      <w:r w:rsidRPr="00173165">
        <w:t>г. по 31.12.20</w:t>
      </w:r>
      <w:r w:rsidR="00D1466D" w:rsidRPr="00173165">
        <w:t>2</w:t>
      </w:r>
      <w:r w:rsidR="00793662" w:rsidRPr="00173165">
        <w:t>2</w:t>
      </w:r>
      <w:r w:rsidRPr="00173165">
        <w:t>г.</w:t>
      </w:r>
    </w:p>
    <w:p w:rsidR="00DB2122" w:rsidRPr="00173165" w:rsidRDefault="00DB2122" w:rsidP="00DB2122">
      <w:pPr>
        <w:jc w:val="center"/>
        <w:rPr>
          <w:b/>
        </w:rPr>
      </w:pPr>
      <w:r w:rsidRPr="00173165">
        <w:rPr>
          <w:b/>
        </w:rPr>
        <w:t>Анализ исполнения бюджета по расходам</w:t>
      </w:r>
    </w:p>
    <w:p w:rsidR="00C008AB" w:rsidRPr="00173165" w:rsidRDefault="00C008AB" w:rsidP="00DB2122">
      <w:pPr>
        <w:jc w:val="center"/>
        <w:rPr>
          <w:b/>
        </w:rPr>
      </w:pPr>
    </w:p>
    <w:p w:rsidR="00DB2122" w:rsidRPr="00173165" w:rsidRDefault="00DB2122" w:rsidP="00DB2122">
      <w:pPr>
        <w:jc w:val="both"/>
      </w:pPr>
      <w:r w:rsidRPr="00173165">
        <w:t xml:space="preserve">      Финансирование деятельности муниципальных учреждений осуществлялось в форме субсидий бюджетным учреждениям на финансовое обеспечение муниципального задания на оказание муниципальных услуг; целевых субсидий на иные цели; бюджетных инвестиций, бюджетных ассигнований на выполнение функций казенными учреждениями; Производились расходы по реализации переданных полномочий в области социальной политики. Все </w:t>
      </w:r>
      <w:r w:rsidR="00753DEE" w:rsidRPr="00173165">
        <w:t>детские сады, ш</w:t>
      </w:r>
      <w:r w:rsidRPr="00173165">
        <w:t>колы, учреждения дополнительного образования детей имеют утвержденные Уставы.</w:t>
      </w:r>
    </w:p>
    <w:p w:rsidR="00DB2122" w:rsidRPr="00173165" w:rsidRDefault="00DB2122" w:rsidP="00DB2122">
      <w:pPr>
        <w:shd w:val="clear" w:color="auto" w:fill="FFFFFF"/>
        <w:ind w:firstLine="567"/>
        <w:jc w:val="both"/>
      </w:pPr>
      <w:r w:rsidRPr="00173165">
        <w:t>Бюджетные назначения Управлению образования на 20</w:t>
      </w:r>
      <w:r w:rsidR="00BE474D" w:rsidRPr="00173165">
        <w:t>2</w:t>
      </w:r>
      <w:r w:rsidR="00753DEE" w:rsidRPr="00173165">
        <w:t>2</w:t>
      </w:r>
      <w:r w:rsidRPr="00173165">
        <w:t xml:space="preserve"> год утверждены Решением СНД МО «Город Адыгейск» от 1</w:t>
      </w:r>
      <w:r w:rsidR="00BE474D" w:rsidRPr="00173165">
        <w:t>0</w:t>
      </w:r>
      <w:r w:rsidRPr="00173165">
        <w:t>.12.20</w:t>
      </w:r>
      <w:r w:rsidR="00753DEE" w:rsidRPr="00173165">
        <w:t>21</w:t>
      </w:r>
      <w:r w:rsidRPr="00173165">
        <w:t>г.</w:t>
      </w:r>
      <w:r w:rsidRPr="00173165">
        <w:rPr>
          <w:color w:val="FF0000"/>
        </w:rPr>
        <w:t xml:space="preserve">    </w:t>
      </w:r>
      <w:r w:rsidR="00BE474D" w:rsidRPr="00173165">
        <w:t xml:space="preserve">  № </w:t>
      </w:r>
      <w:r w:rsidR="00753DEE" w:rsidRPr="00173165">
        <w:t>120</w:t>
      </w:r>
      <w:r w:rsidRPr="00173165">
        <w:t xml:space="preserve"> «О бюджете муниципального образования «Город Адыгейск» на 20</w:t>
      </w:r>
      <w:r w:rsidR="00BE474D" w:rsidRPr="00173165">
        <w:t>2</w:t>
      </w:r>
      <w:r w:rsidR="00753DEE" w:rsidRPr="00173165">
        <w:t>2</w:t>
      </w:r>
      <w:r w:rsidRPr="00173165">
        <w:t xml:space="preserve"> год» (далее – Решение о бюджете на 20</w:t>
      </w:r>
      <w:r w:rsidR="00BE474D" w:rsidRPr="00173165">
        <w:t>2</w:t>
      </w:r>
      <w:r w:rsidR="00753DEE" w:rsidRPr="00173165">
        <w:t>2</w:t>
      </w:r>
      <w:r w:rsidRPr="00173165">
        <w:t xml:space="preserve"> год) в сумме </w:t>
      </w:r>
      <w:r w:rsidR="00CC5D8C" w:rsidRPr="00173165">
        <w:t>295057,5</w:t>
      </w:r>
      <w:r w:rsidRPr="00173165">
        <w:t xml:space="preserve"> тыс. руб. В течение года бюджетные назначения у</w:t>
      </w:r>
      <w:r w:rsidR="00CC5D8C" w:rsidRPr="00173165">
        <w:t>меньш</w:t>
      </w:r>
      <w:r w:rsidRPr="00173165">
        <w:t>ены на</w:t>
      </w:r>
      <w:r w:rsidR="00CC5D8C" w:rsidRPr="00173165">
        <w:t xml:space="preserve"> 3994,8</w:t>
      </w:r>
      <w:r w:rsidRPr="00173165">
        <w:t xml:space="preserve"> </w:t>
      </w:r>
      <w:r w:rsidRPr="00173165">
        <w:rPr>
          <w:shd w:val="clear" w:color="auto" w:fill="FFFFFF"/>
        </w:rPr>
        <w:t>ты</w:t>
      </w:r>
      <w:r w:rsidRPr="00173165">
        <w:t>с. руб.</w:t>
      </w:r>
      <w:r w:rsidR="00B45C30" w:rsidRPr="00173165">
        <w:t xml:space="preserve"> </w:t>
      </w:r>
      <w:r w:rsidRPr="00173165">
        <w:t xml:space="preserve"> </w:t>
      </w:r>
      <w:r w:rsidR="00B45C30" w:rsidRPr="00173165">
        <w:t>Н</w:t>
      </w:r>
      <w:r w:rsidRPr="00173165">
        <w:t>а 01.01.20</w:t>
      </w:r>
      <w:r w:rsidR="00BE474D" w:rsidRPr="00173165">
        <w:t>2</w:t>
      </w:r>
      <w:r w:rsidR="00B45C30" w:rsidRPr="00173165">
        <w:t>2</w:t>
      </w:r>
      <w:r w:rsidRPr="00173165">
        <w:t xml:space="preserve"> года уточненный</w:t>
      </w:r>
      <w:r w:rsidR="00BE474D" w:rsidRPr="00173165">
        <w:t xml:space="preserve"> план</w:t>
      </w:r>
      <w:r w:rsidRPr="00173165">
        <w:t xml:space="preserve"> бюджет</w:t>
      </w:r>
      <w:r w:rsidR="00B45C30" w:rsidRPr="00173165">
        <w:t>а</w:t>
      </w:r>
      <w:r w:rsidRPr="00173165">
        <w:t xml:space="preserve"> составил</w:t>
      </w:r>
      <w:r w:rsidRPr="00173165">
        <w:rPr>
          <w:color w:val="FF0000"/>
        </w:rPr>
        <w:t xml:space="preserve"> </w:t>
      </w:r>
      <w:r w:rsidR="00B45C30" w:rsidRPr="00173165">
        <w:t>291062,7</w:t>
      </w:r>
      <w:r w:rsidRPr="00173165">
        <w:t xml:space="preserve"> тыс. руб. </w:t>
      </w:r>
      <w:r w:rsidR="00B45C30" w:rsidRPr="00173165">
        <w:t>Исполнение составило 289484,5 тыс. руб.</w:t>
      </w:r>
    </w:p>
    <w:p w:rsidR="00DB2122" w:rsidRPr="00173165" w:rsidRDefault="00DB2122" w:rsidP="00DB2122">
      <w:pPr>
        <w:jc w:val="both"/>
      </w:pPr>
      <w:r w:rsidRPr="00173165">
        <w:t xml:space="preserve">     Бюджет Управления образования сформирован в программном   формате и в рамках не программных расходов на реализацию иных мероприятий.</w:t>
      </w:r>
    </w:p>
    <w:p w:rsidR="00DB2122" w:rsidRPr="00173165" w:rsidRDefault="00DB2122" w:rsidP="00DB2122">
      <w:pPr>
        <w:jc w:val="both"/>
      </w:pPr>
      <w:r w:rsidRPr="00173165">
        <w:t xml:space="preserve">    В течение года ассигнования распределены:</w:t>
      </w:r>
    </w:p>
    <w:p w:rsidR="00DB2122" w:rsidRPr="00173165" w:rsidRDefault="00DB2122" w:rsidP="00DB2122">
      <w:pPr>
        <w:jc w:val="both"/>
      </w:pPr>
      <w:r w:rsidRPr="00173165">
        <w:t xml:space="preserve">   - по подразделу 0701 «Дошкольное образование» </w:t>
      </w:r>
      <w:r w:rsidR="00BE474D" w:rsidRPr="00173165">
        <w:t xml:space="preserve">- </w:t>
      </w:r>
      <w:r w:rsidR="002F339D" w:rsidRPr="00173165">
        <w:t>108346,7</w:t>
      </w:r>
      <w:r w:rsidRPr="00173165">
        <w:t xml:space="preserve"> тыс. руб.;</w:t>
      </w:r>
    </w:p>
    <w:p w:rsidR="00DB2122" w:rsidRPr="00173165" w:rsidRDefault="00DB2122" w:rsidP="00DB2122">
      <w:pPr>
        <w:jc w:val="both"/>
      </w:pPr>
      <w:r w:rsidRPr="00173165">
        <w:t xml:space="preserve">   - по подразделу 0702 «Общее образование» </w:t>
      </w:r>
      <w:r w:rsidR="00BE474D" w:rsidRPr="00173165">
        <w:t xml:space="preserve">- </w:t>
      </w:r>
      <w:r w:rsidR="002F339D" w:rsidRPr="00173165">
        <w:t>136943,4</w:t>
      </w:r>
      <w:r w:rsidRPr="00173165">
        <w:t xml:space="preserve"> тыс. руб.;</w:t>
      </w:r>
    </w:p>
    <w:p w:rsidR="00BE474D" w:rsidRPr="00173165" w:rsidRDefault="00BE474D" w:rsidP="00DB2122">
      <w:pPr>
        <w:jc w:val="both"/>
      </w:pPr>
      <w:r w:rsidRPr="00173165">
        <w:t xml:space="preserve">   - по подразделу 0703 «Дополнительное образование детей»</w:t>
      </w:r>
      <w:r w:rsidR="0037754D" w:rsidRPr="00173165">
        <w:t xml:space="preserve"> - </w:t>
      </w:r>
      <w:r w:rsidR="00FC7F7E" w:rsidRPr="00173165">
        <w:t>24063,4</w:t>
      </w:r>
      <w:r w:rsidR="0037754D" w:rsidRPr="00173165">
        <w:t xml:space="preserve"> тыс. руб.;</w:t>
      </w:r>
    </w:p>
    <w:p w:rsidR="0037754D" w:rsidRPr="00173165" w:rsidRDefault="0037754D" w:rsidP="0037754D">
      <w:pPr>
        <w:jc w:val="both"/>
      </w:pPr>
      <w:r w:rsidRPr="00173165">
        <w:t xml:space="preserve">   - по подразделу 0709 «Непрограммные расходы» - </w:t>
      </w:r>
      <w:r w:rsidR="009127B8" w:rsidRPr="00173165">
        <w:t>16967,4</w:t>
      </w:r>
      <w:r w:rsidRPr="00173165">
        <w:t>тыс. руб.;</w:t>
      </w:r>
    </w:p>
    <w:p w:rsidR="00DB2122" w:rsidRPr="00173165" w:rsidRDefault="00DB2122" w:rsidP="00DB2122">
      <w:pPr>
        <w:jc w:val="both"/>
      </w:pPr>
      <w:r w:rsidRPr="00173165">
        <w:t xml:space="preserve">   - по подразделу 1004 «Охрана семьи и детства» </w:t>
      </w:r>
      <w:r w:rsidR="0037754D" w:rsidRPr="00173165">
        <w:t>-</w:t>
      </w:r>
      <w:r w:rsidR="009127B8" w:rsidRPr="00173165">
        <w:t>3363,1</w:t>
      </w:r>
      <w:r w:rsidR="0037754D" w:rsidRPr="00173165">
        <w:t xml:space="preserve"> </w:t>
      </w:r>
      <w:r w:rsidRPr="00173165">
        <w:t>тыс. руб.</w:t>
      </w:r>
    </w:p>
    <w:p w:rsidR="00DB2122" w:rsidRPr="00173165" w:rsidRDefault="00DB2122" w:rsidP="00DB2122">
      <w:pPr>
        <w:jc w:val="both"/>
        <w:rPr>
          <w:color w:val="000000"/>
        </w:rPr>
      </w:pPr>
      <w:r w:rsidRPr="00173165">
        <w:t xml:space="preserve">    Бюджетные ассигнования исполнены на 9</w:t>
      </w:r>
      <w:r w:rsidR="0037754D" w:rsidRPr="00173165">
        <w:t>8,0</w:t>
      </w:r>
      <w:r w:rsidRPr="00173165">
        <w:t xml:space="preserve"> % и составили </w:t>
      </w:r>
      <w:r w:rsidR="00B45C30" w:rsidRPr="00173165">
        <w:t>289484,5</w:t>
      </w:r>
      <w:r w:rsidRPr="00173165">
        <w:t xml:space="preserve"> тыс. руб.</w:t>
      </w:r>
      <w:r w:rsidRPr="00173165">
        <w:rPr>
          <w:color w:val="FF0000"/>
        </w:rPr>
        <w:t xml:space="preserve"> </w:t>
      </w:r>
      <w:r w:rsidRPr="00173165">
        <w:rPr>
          <w:color w:val="000000"/>
        </w:rPr>
        <w:t xml:space="preserve">Сумма неисполненных бюджетных назначений – </w:t>
      </w:r>
      <w:r w:rsidR="00B45C30" w:rsidRPr="00173165">
        <w:rPr>
          <w:color w:val="000000"/>
        </w:rPr>
        <w:t>1578,2</w:t>
      </w:r>
      <w:r w:rsidRPr="00173165">
        <w:rPr>
          <w:color w:val="000000"/>
        </w:rPr>
        <w:t xml:space="preserve"> тыс. руб.</w:t>
      </w:r>
    </w:p>
    <w:p w:rsidR="00DB2122" w:rsidRPr="00173165" w:rsidRDefault="00DB2122" w:rsidP="00DB2122">
      <w:pPr>
        <w:jc w:val="both"/>
        <w:rPr>
          <w:color w:val="000000"/>
        </w:rPr>
      </w:pPr>
      <w:r w:rsidRPr="00173165">
        <w:rPr>
          <w:color w:val="000000"/>
        </w:rPr>
        <w:t xml:space="preserve">    Анализ исполнения бюджета в 20</w:t>
      </w:r>
      <w:r w:rsidR="0037754D" w:rsidRPr="00173165">
        <w:rPr>
          <w:color w:val="000000"/>
        </w:rPr>
        <w:t>2</w:t>
      </w:r>
      <w:r w:rsidR="00B45C30" w:rsidRPr="00173165">
        <w:rPr>
          <w:color w:val="000000"/>
        </w:rPr>
        <w:t>2</w:t>
      </w:r>
      <w:r w:rsidRPr="00173165">
        <w:rPr>
          <w:color w:val="000000"/>
        </w:rPr>
        <w:t xml:space="preserve"> году, представлен в таблице:</w:t>
      </w:r>
    </w:p>
    <w:p w:rsidR="00C008AB" w:rsidRPr="00173165" w:rsidRDefault="00DB2122" w:rsidP="00DB2122">
      <w:pPr>
        <w:rPr>
          <w:color w:val="000000"/>
        </w:rPr>
      </w:pPr>
      <w:proofErr w:type="spellStart"/>
      <w:r w:rsidRPr="00173165">
        <w:rPr>
          <w:color w:val="000000"/>
        </w:rPr>
        <w:t>тыс.руб</w:t>
      </w:r>
      <w:proofErr w:type="spellEnd"/>
      <w:r w:rsidRPr="00173165">
        <w:rPr>
          <w:color w:val="000000"/>
        </w:rPr>
        <w:t>.</w:t>
      </w:r>
    </w:p>
    <w:p w:rsidR="00C008AB" w:rsidRPr="00173165" w:rsidRDefault="00C008AB" w:rsidP="00DB212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339"/>
        <w:gridCol w:w="1116"/>
        <w:gridCol w:w="886"/>
        <w:gridCol w:w="1116"/>
        <w:gridCol w:w="886"/>
        <w:gridCol w:w="946"/>
        <w:gridCol w:w="577"/>
      </w:tblGrid>
      <w:tr w:rsidR="00DB2122" w:rsidRPr="00173165" w:rsidTr="002F43F4">
        <w:tc>
          <w:tcPr>
            <w:tcW w:w="485" w:type="dxa"/>
            <w:vMerge w:val="restart"/>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w:t>
            </w:r>
          </w:p>
        </w:tc>
        <w:tc>
          <w:tcPr>
            <w:tcW w:w="3559" w:type="dxa"/>
            <w:vMerge w:val="restart"/>
            <w:tcBorders>
              <w:top w:val="single" w:sz="4" w:space="0" w:color="auto"/>
              <w:left w:val="single" w:sz="4" w:space="0" w:color="auto"/>
              <w:bottom w:val="single" w:sz="4" w:space="0" w:color="auto"/>
              <w:right w:val="single" w:sz="4" w:space="0" w:color="auto"/>
            </w:tcBorders>
          </w:tcPr>
          <w:p w:rsidR="00DB2122" w:rsidRPr="00173165" w:rsidRDefault="00DB2122">
            <w:pPr>
              <w:jc w:val="center"/>
              <w:rPr>
                <w:color w:val="000000"/>
              </w:rPr>
            </w:pPr>
          </w:p>
          <w:p w:rsidR="00DB2122" w:rsidRPr="00173165" w:rsidRDefault="00DB2122">
            <w:pPr>
              <w:jc w:val="center"/>
              <w:rPr>
                <w:color w:val="000000"/>
              </w:rPr>
            </w:pPr>
          </w:p>
          <w:p w:rsidR="00DB2122" w:rsidRPr="00173165" w:rsidRDefault="00DB2122">
            <w:pPr>
              <w:jc w:val="center"/>
              <w:rPr>
                <w:color w:val="000000"/>
              </w:rPr>
            </w:pPr>
            <w:r w:rsidRPr="00173165">
              <w:rPr>
                <w:color w:val="000000"/>
              </w:rPr>
              <w:t>Наименование</w:t>
            </w:r>
          </w:p>
          <w:p w:rsidR="00DB2122" w:rsidRPr="00173165" w:rsidRDefault="00DB2122">
            <w:pPr>
              <w:jc w:val="center"/>
              <w:rPr>
                <w:color w:val="000000"/>
              </w:rPr>
            </w:pPr>
          </w:p>
          <w:p w:rsidR="00DB2122" w:rsidRPr="00173165" w:rsidRDefault="00DB2122">
            <w:pPr>
              <w:jc w:val="center"/>
              <w:rPr>
                <w:color w:val="000000"/>
              </w:rPr>
            </w:pPr>
          </w:p>
        </w:tc>
        <w:tc>
          <w:tcPr>
            <w:tcW w:w="1885" w:type="dxa"/>
            <w:gridSpan w:val="2"/>
            <w:tcBorders>
              <w:top w:val="single" w:sz="4" w:space="0" w:color="auto"/>
              <w:left w:val="single" w:sz="4" w:space="0" w:color="auto"/>
              <w:bottom w:val="single" w:sz="4" w:space="0" w:color="auto"/>
              <w:right w:val="single" w:sz="4" w:space="0" w:color="auto"/>
            </w:tcBorders>
            <w:hideMark/>
          </w:tcPr>
          <w:p w:rsidR="00DB2122" w:rsidRPr="00173165" w:rsidRDefault="00DB2122">
            <w:r w:rsidRPr="00173165">
              <w:t>Утверждено</w:t>
            </w:r>
          </w:p>
          <w:p w:rsidR="00DB2122" w:rsidRPr="00173165" w:rsidRDefault="00DB2122" w:rsidP="00A91812">
            <w:r w:rsidRPr="00173165">
              <w:t>бюджетом на 20</w:t>
            </w:r>
            <w:r w:rsidR="0037754D" w:rsidRPr="00173165">
              <w:t>2</w:t>
            </w:r>
            <w:r w:rsidR="00A91812" w:rsidRPr="00173165">
              <w:t>2</w:t>
            </w:r>
            <w:r w:rsidRPr="00173165">
              <w:t xml:space="preserve"> год</w:t>
            </w:r>
          </w:p>
        </w:tc>
        <w:tc>
          <w:tcPr>
            <w:tcW w:w="1871" w:type="dxa"/>
            <w:gridSpan w:val="2"/>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Фактическое</w:t>
            </w:r>
          </w:p>
          <w:p w:rsidR="00DB2122" w:rsidRPr="00173165" w:rsidRDefault="00DB2122">
            <w:pPr>
              <w:rPr>
                <w:color w:val="000000"/>
              </w:rPr>
            </w:pPr>
            <w:r w:rsidRPr="00173165">
              <w:rPr>
                <w:color w:val="000000"/>
              </w:rPr>
              <w:t>исполнение</w:t>
            </w:r>
          </w:p>
        </w:tc>
        <w:tc>
          <w:tcPr>
            <w:tcW w:w="1545" w:type="dxa"/>
            <w:gridSpan w:val="2"/>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отклонение</w:t>
            </w:r>
          </w:p>
        </w:tc>
      </w:tr>
      <w:tr w:rsidR="00DB2122" w:rsidRPr="00173165" w:rsidTr="002F43F4">
        <w:tc>
          <w:tcPr>
            <w:tcW w:w="0" w:type="auto"/>
            <w:vMerge/>
            <w:tcBorders>
              <w:top w:val="single" w:sz="4" w:space="0" w:color="auto"/>
              <w:left w:val="single" w:sz="4" w:space="0" w:color="auto"/>
              <w:bottom w:val="single" w:sz="4" w:space="0" w:color="auto"/>
              <w:right w:val="single" w:sz="4" w:space="0" w:color="auto"/>
            </w:tcBorders>
            <w:vAlign w:val="center"/>
            <w:hideMark/>
          </w:tcPr>
          <w:p w:rsidR="00DB2122" w:rsidRPr="00173165" w:rsidRDefault="00DB212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122" w:rsidRPr="00173165" w:rsidRDefault="00DB2122">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DB2122">
            <w:pPr>
              <w:rPr>
                <w:color w:val="000000"/>
              </w:rPr>
            </w:pPr>
            <w:r w:rsidRPr="00173165">
              <w:rPr>
                <w:color w:val="000000"/>
              </w:rPr>
              <w:t>Объем средств</w:t>
            </w:r>
          </w:p>
          <w:p w:rsidR="00DB2122" w:rsidRPr="00173165" w:rsidRDefault="00DB2122">
            <w:pPr>
              <w:rPr>
                <w:color w:val="000000"/>
              </w:rPr>
            </w:pPr>
          </w:p>
        </w:tc>
        <w:tc>
          <w:tcPr>
            <w:tcW w:w="844" w:type="dxa"/>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Доля раздел</w:t>
            </w:r>
          </w:p>
          <w:p w:rsidR="00DB2122" w:rsidRPr="00173165" w:rsidRDefault="00DB2122">
            <w:pPr>
              <w:rPr>
                <w:color w:val="000000"/>
              </w:rPr>
            </w:pPr>
            <w:r w:rsidRPr="00173165">
              <w:rPr>
                <w:color w:val="000000"/>
              </w:rPr>
              <w:t>%</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DB2122">
            <w:pPr>
              <w:rPr>
                <w:color w:val="000000"/>
              </w:rPr>
            </w:pPr>
            <w:r w:rsidRPr="00173165">
              <w:rPr>
                <w:color w:val="000000"/>
              </w:rPr>
              <w:t>Объем средств</w:t>
            </w:r>
          </w:p>
          <w:p w:rsidR="00DB2122" w:rsidRPr="00173165" w:rsidRDefault="00DB2122">
            <w:pPr>
              <w:rPr>
                <w:color w:val="000000"/>
              </w:rPr>
            </w:pPr>
          </w:p>
        </w:tc>
        <w:tc>
          <w:tcPr>
            <w:tcW w:w="830" w:type="dxa"/>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Доля раздел</w:t>
            </w:r>
          </w:p>
          <w:p w:rsidR="00DB2122" w:rsidRPr="00173165" w:rsidRDefault="00DB2122">
            <w:pPr>
              <w:rPr>
                <w:color w:val="000000"/>
              </w:rPr>
            </w:pPr>
            <w:r w:rsidRPr="00173165">
              <w:rPr>
                <w:color w:val="000000"/>
              </w:rPr>
              <w:t>%</w:t>
            </w:r>
          </w:p>
        </w:tc>
        <w:tc>
          <w:tcPr>
            <w:tcW w:w="946" w:type="dxa"/>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тыс.</w:t>
            </w:r>
          </w:p>
          <w:p w:rsidR="00DB2122" w:rsidRPr="00173165" w:rsidRDefault="00DB2122">
            <w:pPr>
              <w:rPr>
                <w:color w:val="000000"/>
              </w:rPr>
            </w:pPr>
            <w:r w:rsidRPr="00173165">
              <w:rPr>
                <w:color w:val="000000"/>
              </w:rPr>
              <w:t>руб.</w:t>
            </w:r>
          </w:p>
        </w:tc>
        <w:tc>
          <w:tcPr>
            <w:tcW w:w="599" w:type="dxa"/>
            <w:tcBorders>
              <w:top w:val="single" w:sz="4" w:space="0" w:color="auto"/>
              <w:left w:val="single" w:sz="4" w:space="0" w:color="auto"/>
              <w:bottom w:val="single" w:sz="4" w:space="0" w:color="auto"/>
              <w:right w:val="single" w:sz="4" w:space="0" w:color="auto"/>
            </w:tcBorders>
          </w:tcPr>
          <w:p w:rsidR="00DB2122" w:rsidRPr="00173165" w:rsidRDefault="00DB2122">
            <w:pPr>
              <w:rPr>
                <w:color w:val="000000"/>
              </w:rPr>
            </w:pPr>
          </w:p>
        </w:tc>
      </w:tr>
      <w:tr w:rsidR="00DB2122" w:rsidRPr="00173165" w:rsidTr="00A91812">
        <w:tc>
          <w:tcPr>
            <w:tcW w:w="485" w:type="dxa"/>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1.</w:t>
            </w:r>
          </w:p>
        </w:tc>
        <w:tc>
          <w:tcPr>
            <w:tcW w:w="3559" w:type="dxa"/>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Расходы на программную часть, из них</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3C3064">
            <w:pPr>
              <w:rPr>
                <w:color w:val="000000"/>
              </w:rPr>
            </w:pPr>
            <w:r w:rsidRPr="00173165">
              <w:rPr>
                <w:color w:val="000000"/>
              </w:rPr>
              <w:t>289769,1</w:t>
            </w:r>
          </w:p>
        </w:tc>
        <w:tc>
          <w:tcPr>
            <w:tcW w:w="844" w:type="dxa"/>
            <w:tcBorders>
              <w:top w:val="single" w:sz="4" w:space="0" w:color="auto"/>
              <w:left w:val="single" w:sz="4" w:space="0" w:color="auto"/>
              <w:bottom w:val="single" w:sz="4" w:space="0" w:color="auto"/>
              <w:right w:val="single" w:sz="4" w:space="0" w:color="auto"/>
            </w:tcBorders>
          </w:tcPr>
          <w:p w:rsidR="00DB2122" w:rsidRPr="00173165" w:rsidRDefault="00CC5D8C" w:rsidP="00CC590B">
            <w:pPr>
              <w:rPr>
                <w:color w:val="000000"/>
              </w:rPr>
            </w:pPr>
            <w:r w:rsidRPr="00173165">
              <w:rPr>
                <w:color w:val="000000"/>
              </w:rPr>
              <w:t>100,0</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3C3064" w:rsidP="005C3D1B">
            <w:pPr>
              <w:rPr>
                <w:color w:val="000000"/>
              </w:rPr>
            </w:pPr>
            <w:r w:rsidRPr="00173165">
              <w:rPr>
                <w:color w:val="000000"/>
              </w:rPr>
              <w:t>2</w:t>
            </w:r>
            <w:r w:rsidR="005C3D1B" w:rsidRPr="00173165">
              <w:rPr>
                <w:color w:val="000000"/>
              </w:rPr>
              <w:t>8473</w:t>
            </w:r>
            <w:r w:rsidR="007223AC" w:rsidRPr="00173165">
              <w:rPr>
                <w:color w:val="000000"/>
              </w:rPr>
              <w:t>1</w:t>
            </w:r>
            <w:r w:rsidR="005C3D1B" w:rsidRPr="00173165">
              <w:rPr>
                <w:color w:val="000000"/>
              </w:rPr>
              <w:t>,2</w:t>
            </w:r>
          </w:p>
        </w:tc>
        <w:tc>
          <w:tcPr>
            <w:tcW w:w="830" w:type="dxa"/>
            <w:tcBorders>
              <w:top w:val="single" w:sz="4" w:space="0" w:color="auto"/>
              <w:left w:val="single" w:sz="4" w:space="0" w:color="auto"/>
              <w:bottom w:val="single" w:sz="4" w:space="0" w:color="auto"/>
              <w:right w:val="single" w:sz="4" w:space="0" w:color="auto"/>
            </w:tcBorders>
          </w:tcPr>
          <w:p w:rsidR="00DB2122" w:rsidRPr="00173165" w:rsidRDefault="007223AC">
            <w:pPr>
              <w:rPr>
                <w:color w:val="000000"/>
              </w:rPr>
            </w:pPr>
            <w:r w:rsidRPr="00173165">
              <w:rPr>
                <w:color w:val="000000"/>
              </w:rPr>
              <w:t>91,2</w:t>
            </w:r>
          </w:p>
        </w:tc>
        <w:tc>
          <w:tcPr>
            <w:tcW w:w="946" w:type="dxa"/>
            <w:tcBorders>
              <w:top w:val="single" w:sz="4" w:space="0" w:color="auto"/>
              <w:left w:val="single" w:sz="4" w:space="0" w:color="auto"/>
              <w:bottom w:val="single" w:sz="4" w:space="0" w:color="auto"/>
              <w:right w:val="single" w:sz="4" w:space="0" w:color="auto"/>
            </w:tcBorders>
          </w:tcPr>
          <w:p w:rsidR="00DB2122" w:rsidRPr="00173165" w:rsidRDefault="007223AC">
            <w:pPr>
              <w:rPr>
                <w:color w:val="000000"/>
              </w:rPr>
            </w:pPr>
            <w:r w:rsidRPr="00173165">
              <w:rPr>
                <w:color w:val="000000"/>
              </w:rPr>
              <w:t>5037,9</w:t>
            </w:r>
          </w:p>
        </w:tc>
        <w:tc>
          <w:tcPr>
            <w:tcW w:w="599" w:type="dxa"/>
            <w:tcBorders>
              <w:top w:val="single" w:sz="4" w:space="0" w:color="auto"/>
              <w:left w:val="single" w:sz="4" w:space="0" w:color="auto"/>
              <w:bottom w:val="single" w:sz="4" w:space="0" w:color="auto"/>
              <w:right w:val="single" w:sz="4" w:space="0" w:color="auto"/>
            </w:tcBorders>
          </w:tcPr>
          <w:p w:rsidR="00DB2122" w:rsidRPr="00173165" w:rsidRDefault="00DB2122">
            <w:pPr>
              <w:rPr>
                <w:color w:val="000000"/>
              </w:rPr>
            </w:pPr>
          </w:p>
        </w:tc>
      </w:tr>
      <w:tr w:rsidR="00DB2122" w:rsidRPr="00173165" w:rsidTr="00A91812">
        <w:tc>
          <w:tcPr>
            <w:tcW w:w="485" w:type="dxa"/>
            <w:tcBorders>
              <w:top w:val="single" w:sz="4" w:space="0" w:color="auto"/>
              <w:left w:val="single" w:sz="4" w:space="0" w:color="auto"/>
              <w:bottom w:val="single" w:sz="4" w:space="0" w:color="auto"/>
              <w:right w:val="single" w:sz="4" w:space="0" w:color="auto"/>
            </w:tcBorders>
          </w:tcPr>
          <w:p w:rsidR="00DB2122" w:rsidRPr="00173165" w:rsidRDefault="002F43F4">
            <w:pPr>
              <w:rPr>
                <w:color w:val="000000"/>
              </w:rPr>
            </w:pPr>
            <w:r w:rsidRPr="00173165">
              <w:rPr>
                <w:color w:val="000000"/>
              </w:rPr>
              <w:lastRenderedPageBreak/>
              <w:t>2.</w:t>
            </w:r>
          </w:p>
        </w:tc>
        <w:tc>
          <w:tcPr>
            <w:tcW w:w="3559" w:type="dxa"/>
            <w:tcBorders>
              <w:top w:val="single" w:sz="4" w:space="0" w:color="auto"/>
              <w:left w:val="single" w:sz="4" w:space="0" w:color="auto"/>
              <w:bottom w:val="single" w:sz="4" w:space="0" w:color="auto"/>
              <w:right w:val="single" w:sz="4" w:space="0" w:color="auto"/>
            </w:tcBorders>
            <w:hideMark/>
          </w:tcPr>
          <w:p w:rsidR="00DB2122" w:rsidRPr="00173165" w:rsidRDefault="00CC590B" w:rsidP="00B918E0">
            <w:pPr>
              <w:rPr>
                <w:color w:val="000000"/>
              </w:rPr>
            </w:pPr>
            <w:r w:rsidRPr="00173165">
              <w:rPr>
                <w:color w:val="000000"/>
              </w:rPr>
              <w:t>Подп</w:t>
            </w:r>
            <w:r w:rsidR="00DB2122" w:rsidRPr="00173165">
              <w:rPr>
                <w:color w:val="000000"/>
              </w:rPr>
              <w:t xml:space="preserve">рограмма </w:t>
            </w:r>
            <w:r w:rsidRPr="00173165">
              <w:rPr>
                <w:color w:val="000000"/>
              </w:rPr>
              <w:t>«Организация</w:t>
            </w:r>
            <w:r w:rsidR="00B918E0" w:rsidRPr="00173165">
              <w:rPr>
                <w:color w:val="000000"/>
              </w:rPr>
              <w:t xml:space="preserve"> </w:t>
            </w:r>
            <w:r w:rsidRPr="00173165">
              <w:rPr>
                <w:color w:val="000000"/>
              </w:rPr>
              <w:t>и мето</w:t>
            </w:r>
            <w:r w:rsidR="00B918E0" w:rsidRPr="00173165">
              <w:rPr>
                <w:color w:val="000000"/>
              </w:rPr>
              <w:t>дологическое обеспечение реализации муниципальной программы «Развитие образования»</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A91812">
            <w:pPr>
              <w:rPr>
                <w:color w:val="000000"/>
              </w:rPr>
            </w:pPr>
            <w:r w:rsidRPr="00173165">
              <w:rPr>
                <w:color w:val="000000"/>
              </w:rPr>
              <w:t>15939,0</w:t>
            </w:r>
          </w:p>
        </w:tc>
        <w:tc>
          <w:tcPr>
            <w:tcW w:w="844" w:type="dxa"/>
            <w:tcBorders>
              <w:top w:val="single" w:sz="4" w:space="0" w:color="auto"/>
              <w:left w:val="single" w:sz="4" w:space="0" w:color="auto"/>
              <w:bottom w:val="single" w:sz="4" w:space="0" w:color="auto"/>
              <w:right w:val="single" w:sz="4" w:space="0" w:color="auto"/>
            </w:tcBorders>
          </w:tcPr>
          <w:p w:rsidR="00DB2122" w:rsidRPr="00173165" w:rsidRDefault="00CC5D8C">
            <w:pPr>
              <w:rPr>
                <w:color w:val="000000"/>
              </w:rPr>
            </w:pPr>
            <w:r w:rsidRPr="00173165">
              <w:rPr>
                <w:color w:val="000000"/>
              </w:rPr>
              <w:t>5,5</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A91812">
            <w:pPr>
              <w:rPr>
                <w:color w:val="000000"/>
              </w:rPr>
            </w:pPr>
            <w:r w:rsidRPr="00173165">
              <w:rPr>
                <w:color w:val="000000"/>
              </w:rPr>
              <w:t>15301,6</w:t>
            </w:r>
          </w:p>
        </w:tc>
        <w:tc>
          <w:tcPr>
            <w:tcW w:w="830" w:type="dxa"/>
            <w:tcBorders>
              <w:top w:val="single" w:sz="4" w:space="0" w:color="auto"/>
              <w:left w:val="single" w:sz="4" w:space="0" w:color="auto"/>
              <w:bottom w:val="single" w:sz="4" w:space="0" w:color="auto"/>
              <w:right w:val="single" w:sz="4" w:space="0" w:color="auto"/>
            </w:tcBorders>
          </w:tcPr>
          <w:p w:rsidR="00DB2122" w:rsidRPr="00173165" w:rsidRDefault="007223AC">
            <w:pPr>
              <w:rPr>
                <w:color w:val="000000"/>
              </w:rPr>
            </w:pPr>
            <w:r w:rsidRPr="00173165">
              <w:rPr>
                <w:color w:val="000000"/>
              </w:rPr>
              <w:t>5,4</w:t>
            </w:r>
          </w:p>
        </w:tc>
        <w:tc>
          <w:tcPr>
            <w:tcW w:w="946" w:type="dxa"/>
            <w:tcBorders>
              <w:top w:val="single" w:sz="4" w:space="0" w:color="auto"/>
              <w:left w:val="single" w:sz="4" w:space="0" w:color="auto"/>
              <w:bottom w:val="single" w:sz="4" w:space="0" w:color="auto"/>
              <w:right w:val="single" w:sz="4" w:space="0" w:color="auto"/>
            </w:tcBorders>
          </w:tcPr>
          <w:p w:rsidR="00DB2122" w:rsidRPr="00173165" w:rsidRDefault="00A91812">
            <w:pPr>
              <w:rPr>
                <w:color w:val="000000"/>
              </w:rPr>
            </w:pPr>
            <w:r w:rsidRPr="00173165">
              <w:rPr>
                <w:color w:val="000000"/>
              </w:rPr>
              <w:t>637,4</w:t>
            </w:r>
          </w:p>
        </w:tc>
        <w:tc>
          <w:tcPr>
            <w:tcW w:w="599" w:type="dxa"/>
            <w:tcBorders>
              <w:top w:val="single" w:sz="4" w:space="0" w:color="auto"/>
              <w:left w:val="single" w:sz="4" w:space="0" w:color="auto"/>
              <w:bottom w:val="single" w:sz="4" w:space="0" w:color="auto"/>
              <w:right w:val="single" w:sz="4" w:space="0" w:color="auto"/>
            </w:tcBorders>
          </w:tcPr>
          <w:p w:rsidR="00DB2122" w:rsidRPr="00173165" w:rsidRDefault="00DB2122">
            <w:pPr>
              <w:rPr>
                <w:color w:val="000000"/>
              </w:rPr>
            </w:pPr>
          </w:p>
        </w:tc>
      </w:tr>
      <w:tr w:rsidR="00DB2122" w:rsidRPr="00173165" w:rsidTr="002F43F4">
        <w:tc>
          <w:tcPr>
            <w:tcW w:w="485" w:type="dxa"/>
            <w:tcBorders>
              <w:top w:val="single" w:sz="4" w:space="0" w:color="auto"/>
              <w:left w:val="single" w:sz="4" w:space="0" w:color="auto"/>
              <w:bottom w:val="single" w:sz="4" w:space="0" w:color="auto"/>
              <w:right w:val="single" w:sz="4" w:space="0" w:color="auto"/>
            </w:tcBorders>
          </w:tcPr>
          <w:p w:rsidR="00DB2122" w:rsidRPr="00173165" w:rsidRDefault="00A91812">
            <w:pPr>
              <w:rPr>
                <w:color w:val="000000"/>
              </w:rPr>
            </w:pPr>
            <w:r w:rsidRPr="00173165">
              <w:rPr>
                <w:color w:val="000000"/>
              </w:rPr>
              <w:t>3</w:t>
            </w:r>
            <w:r w:rsidR="002F43F4" w:rsidRPr="00173165">
              <w:rPr>
                <w:color w:val="000000"/>
              </w:rPr>
              <w:t>.</w:t>
            </w:r>
          </w:p>
        </w:tc>
        <w:tc>
          <w:tcPr>
            <w:tcW w:w="3559" w:type="dxa"/>
            <w:tcBorders>
              <w:top w:val="single" w:sz="4" w:space="0" w:color="auto"/>
              <w:left w:val="single" w:sz="4" w:space="0" w:color="auto"/>
              <w:bottom w:val="single" w:sz="4" w:space="0" w:color="auto"/>
              <w:right w:val="single" w:sz="4" w:space="0" w:color="auto"/>
            </w:tcBorders>
            <w:hideMark/>
          </w:tcPr>
          <w:p w:rsidR="00DB2122" w:rsidRPr="00173165" w:rsidRDefault="00DB2122">
            <w:pPr>
              <w:rPr>
                <w:color w:val="000000"/>
              </w:rPr>
            </w:pPr>
            <w:r w:rsidRPr="00173165">
              <w:rPr>
                <w:color w:val="000000"/>
              </w:rPr>
              <w:t>«Профилактика терроризма и экстремизма, улучшение общественной безопасности, а также минимизации и ликвидация последствии проявления терроризма и экстремизма»</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A91812">
            <w:pPr>
              <w:rPr>
                <w:color w:val="000000"/>
              </w:rPr>
            </w:pPr>
            <w:r w:rsidRPr="00173165">
              <w:rPr>
                <w:color w:val="000000"/>
              </w:rPr>
              <w:t>11408,5</w:t>
            </w:r>
          </w:p>
        </w:tc>
        <w:tc>
          <w:tcPr>
            <w:tcW w:w="844" w:type="dxa"/>
            <w:tcBorders>
              <w:top w:val="single" w:sz="4" w:space="0" w:color="auto"/>
              <w:left w:val="single" w:sz="4" w:space="0" w:color="auto"/>
              <w:bottom w:val="single" w:sz="4" w:space="0" w:color="auto"/>
              <w:right w:val="single" w:sz="4" w:space="0" w:color="auto"/>
            </w:tcBorders>
          </w:tcPr>
          <w:p w:rsidR="00DB2122" w:rsidRPr="00173165" w:rsidRDefault="00CC5D8C">
            <w:pPr>
              <w:rPr>
                <w:color w:val="000000"/>
              </w:rPr>
            </w:pPr>
            <w:r w:rsidRPr="00173165">
              <w:rPr>
                <w:color w:val="000000"/>
              </w:rPr>
              <w:t>3,9</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A91812">
            <w:pPr>
              <w:rPr>
                <w:color w:val="000000"/>
              </w:rPr>
            </w:pPr>
            <w:r w:rsidRPr="00173165">
              <w:rPr>
                <w:color w:val="000000"/>
              </w:rPr>
              <w:t>9589,6</w:t>
            </w:r>
          </w:p>
        </w:tc>
        <w:tc>
          <w:tcPr>
            <w:tcW w:w="830" w:type="dxa"/>
            <w:tcBorders>
              <w:top w:val="single" w:sz="4" w:space="0" w:color="auto"/>
              <w:left w:val="single" w:sz="4" w:space="0" w:color="auto"/>
              <w:bottom w:val="single" w:sz="4" w:space="0" w:color="auto"/>
              <w:right w:val="single" w:sz="4" w:space="0" w:color="auto"/>
            </w:tcBorders>
          </w:tcPr>
          <w:p w:rsidR="00DB2122" w:rsidRPr="00173165" w:rsidRDefault="007223AC">
            <w:pPr>
              <w:rPr>
                <w:color w:val="000000"/>
              </w:rPr>
            </w:pPr>
            <w:r w:rsidRPr="00173165">
              <w:rPr>
                <w:color w:val="000000"/>
              </w:rPr>
              <w:t>3,4</w:t>
            </w:r>
          </w:p>
        </w:tc>
        <w:tc>
          <w:tcPr>
            <w:tcW w:w="946" w:type="dxa"/>
            <w:tcBorders>
              <w:top w:val="single" w:sz="4" w:space="0" w:color="auto"/>
              <w:left w:val="single" w:sz="4" w:space="0" w:color="auto"/>
              <w:bottom w:val="single" w:sz="4" w:space="0" w:color="auto"/>
              <w:right w:val="single" w:sz="4" w:space="0" w:color="auto"/>
            </w:tcBorders>
          </w:tcPr>
          <w:p w:rsidR="00DB2122" w:rsidRPr="00173165" w:rsidRDefault="00A91812">
            <w:pPr>
              <w:rPr>
                <w:color w:val="000000"/>
              </w:rPr>
            </w:pPr>
            <w:r w:rsidRPr="00173165">
              <w:rPr>
                <w:color w:val="000000"/>
              </w:rPr>
              <w:t>1818,9</w:t>
            </w:r>
          </w:p>
        </w:tc>
        <w:tc>
          <w:tcPr>
            <w:tcW w:w="599" w:type="dxa"/>
            <w:tcBorders>
              <w:top w:val="single" w:sz="4" w:space="0" w:color="auto"/>
              <w:left w:val="single" w:sz="4" w:space="0" w:color="auto"/>
              <w:bottom w:val="single" w:sz="4" w:space="0" w:color="auto"/>
              <w:right w:val="single" w:sz="4" w:space="0" w:color="auto"/>
            </w:tcBorders>
          </w:tcPr>
          <w:p w:rsidR="00DB2122" w:rsidRPr="00173165" w:rsidRDefault="00DB2122">
            <w:pPr>
              <w:rPr>
                <w:color w:val="000000"/>
              </w:rPr>
            </w:pPr>
          </w:p>
        </w:tc>
      </w:tr>
      <w:tr w:rsidR="00DB2122" w:rsidRPr="00173165" w:rsidTr="003F4C41">
        <w:trPr>
          <w:trHeight w:val="555"/>
        </w:trPr>
        <w:tc>
          <w:tcPr>
            <w:tcW w:w="485" w:type="dxa"/>
            <w:tcBorders>
              <w:top w:val="single" w:sz="4" w:space="0" w:color="auto"/>
              <w:left w:val="single" w:sz="4" w:space="0" w:color="auto"/>
              <w:bottom w:val="single" w:sz="4" w:space="0" w:color="auto"/>
              <w:right w:val="single" w:sz="4" w:space="0" w:color="auto"/>
            </w:tcBorders>
          </w:tcPr>
          <w:p w:rsidR="00DB2122" w:rsidRPr="00173165" w:rsidRDefault="00A91812">
            <w:pPr>
              <w:rPr>
                <w:color w:val="000000"/>
              </w:rPr>
            </w:pPr>
            <w:r w:rsidRPr="00173165">
              <w:rPr>
                <w:color w:val="000000"/>
              </w:rPr>
              <w:t>4</w:t>
            </w:r>
            <w:r w:rsidR="002F43F4" w:rsidRPr="00173165">
              <w:rPr>
                <w:color w:val="000000"/>
              </w:rPr>
              <w:t>.</w:t>
            </w:r>
          </w:p>
        </w:tc>
        <w:tc>
          <w:tcPr>
            <w:tcW w:w="3559" w:type="dxa"/>
            <w:tcBorders>
              <w:top w:val="single" w:sz="4" w:space="0" w:color="auto"/>
              <w:left w:val="single" w:sz="4" w:space="0" w:color="auto"/>
              <w:bottom w:val="single" w:sz="4" w:space="0" w:color="auto"/>
              <w:right w:val="single" w:sz="4" w:space="0" w:color="auto"/>
            </w:tcBorders>
            <w:hideMark/>
          </w:tcPr>
          <w:p w:rsidR="00DB2122" w:rsidRPr="00173165" w:rsidRDefault="00B918E0" w:rsidP="00B918E0">
            <w:pPr>
              <w:rPr>
                <w:color w:val="000000"/>
              </w:rPr>
            </w:pPr>
            <w:r w:rsidRPr="00173165">
              <w:rPr>
                <w:color w:val="000000"/>
              </w:rPr>
              <w:t xml:space="preserve">Подпрограмма </w:t>
            </w:r>
            <w:r w:rsidR="00DB2122" w:rsidRPr="00173165">
              <w:rPr>
                <w:color w:val="000000"/>
              </w:rPr>
              <w:t xml:space="preserve">«Развитие образования в МО «Город Адыгейск» </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3C3064">
            <w:pPr>
              <w:rPr>
                <w:color w:val="000000"/>
              </w:rPr>
            </w:pPr>
            <w:r w:rsidRPr="00173165">
              <w:rPr>
                <w:color w:val="000000"/>
              </w:rPr>
              <w:t>262421,6</w:t>
            </w:r>
          </w:p>
        </w:tc>
        <w:tc>
          <w:tcPr>
            <w:tcW w:w="844" w:type="dxa"/>
            <w:tcBorders>
              <w:top w:val="single" w:sz="4" w:space="0" w:color="auto"/>
              <w:left w:val="single" w:sz="4" w:space="0" w:color="auto"/>
              <w:bottom w:val="single" w:sz="4" w:space="0" w:color="auto"/>
              <w:right w:val="single" w:sz="4" w:space="0" w:color="auto"/>
            </w:tcBorders>
          </w:tcPr>
          <w:p w:rsidR="00DB2122" w:rsidRPr="00173165" w:rsidRDefault="00CC5D8C">
            <w:pPr>
              <w:rPr>
                <w:color w:val="000000"/>
              </w:rPr>
            </w:pPr>
            <w:r w:rsidRPr="00173165">
              <w:rPr>
                <w:color w:val="000000"/>
              </w:rPr>
              <w:t>90,6</w:t>
            </w:r>
          </w:p>
        </w:tc>
        <w:tc>
          <w:tcPr>
            <w:tcW w:w="1041" w:type="dxa"/>
            <w:tcBorders>
              <w:top w:val="single" w:sz="4" w:space="0" w:color="auto"/>
              <w:left w:val="single" w:sz="4" w:space="0" w:color="auto"/>
              <w:bottom w:val="single" w:sz="4" w:space="0" w:color="auto"/>
              <w:right w:val="single" w:sz="4" w:space="0" w:color="auto"/>
            </w:tcBorders>
          </w:tcPr>
          <w:p w:rsidR="00DB2122" w:rsidRPr="00173165" w:rsidRDefault="003C3064" w:rsidP="0021152A">
            <w:pPr>
              <w:rPr>
                <w:color w:val="000000"/>
              </w:rPr>
            </w:pPr>
            <w:r w:rsidRPr="00173165">
              <w:rPr>
                <w:color w:val="000000"/>
              </w:rPr>
              <w:t>259840,5</w:t>
            </w:r>
          </w:p>
        </w:tc>
        <w:tc>
          <w:tcPr>
            <w:tcW w:w="830" w:type="dxa"/>
            <w:tcBorders>
              <w:top w:val="single" w:sz="4" w:space="0" w:color="auto"/>
              <w:left w:val="single" w:sz="4" w:space="0" w:color="auto"/>
              <w:bottom w:val="single" w:sz="4" w:space="0" w:color="auto"/>
              <w:right w:val="single" w:sz="4" w:space="0" w:color="auto"/>
            </w:tcBorders>
          </w:tcPr>
          <w:p w:rsidR="00DB2122" w:rsidRPr="00173165" w:rsidRDefault="007223AC">
            <w:pPr>
              <w:rPr>
                <w:color w:val="000000"/>
              </w:rPr>
            </w:pPr>
            <w:r w:rsidRPr="00173165">
              <w:rPr>
                <w:color w:val="000000"/>
              </w:rPr>
              <w:t>91,2</w:t>
            </w:r>
          </w:p>
        </w:tc>
        <w:tc>
          <w:tcPr>
            <w:tcW w:w="946" w:type="dxa"/>
            <w:tcBorders>
              <w:top w:val="single" w:sz="4" w:space="0" w:color="auto"/>
              <w:left w:val="single" w:sz="4" w:space="0" w:color="auto"/>
              <w:bottom w:val="single" w:sz="4" w:space="0" w:color="auto"/>
              <w:right w:val="single" w:sz="4" w:space="0" w:color="auto"/>
            </w:tcBorders>
          </w:tcPr>
          <w:p w:rsidR="00DB2122" w:rsidRPr="00173165" w:rsidRDefault="005C3D1B">
            <w:pPr>
              <w:rPr>
                <w:color w:val="000000"/>
              </w:rPr>
            </w:pPr>
            <w:r w:rsidRPr="00173165">
              <w:rPr>
                <w:color w:val="000000"/>
              </w:rPr>
              <w:t>2581,1</w:t>
            </w:r>
          </w:p>
        </w:tc>
        <w:tc>
          <w:tcPr>
            <w:tcW w:w="599" w:type="dxa"/>
            <w:tcBorders>
              <w:top w:val="single" w:sz="4" w:space="0" w:color="auto"/>
              <w:left w:val="single" w:sz="4" w:space="0" w:color="auto"/>
              <w:bottom w:val="single" w:sz="4" w:space="0" w:color="auto"/>
              <w:right w:val="single" w:sz="4" w:space="0" w:color="auto"/>
            </w:tcBorders>
          </w:tcPr>
          <w:p w:rsidR="00DB2122" w:rsidRPr="00173165" w:rsidRDefault="00DB2122">
            <w:pPr>
              <w:rPr>
                <w:color w:val="000000"/>
              </w:rPr>
            </w:pPr>
          </w:p>
        </w:tc>
      </w:tr>
    </w:tbl>
    <w:p w:rsidR="00DB2122" w:rsidRPr="00173165" w:rsidRDefault="00DB2122" w:rsidP="00DB2122">
      <w:pPr>
        <w:jc w:val="both"/>
        <w:rPr>
          <w:color w:val="000000"/>
        </w:rPr>
      </w:pPr>
    </w:p>
    <w:p w:rsidR="00C008AB" w:rsidRPr="00173165" w:rsidRDefault="00C008AB" w:rsidP="00DB2122">
      <w:pPr>
        <w:jc w:val="both"/>
        <w:rPr>
          <w:color w:val="000000"/>
        </w:rPr>
      </w:pPr>
    </w:p>
    <w:p w:rsidR="00DB2122" w:rsidRPr="00173165" w:rsidRDefault="00DB2122" w:rsidP="00DB2122">
      <w:pPr>
        <w:jc w:val="both"/>
        <w:rPr>
          <w:color w:val="000000"/>
        </w:rPr>
      </w:pPr>
      <w:r w:rsidRPr="00173165">
        <w:rPr>
          <w:color w:val="000000"/>
        </w:rPr>
        <w:t xml:space="preserve">    Расходы программной части составляют </w:t>
      </w:r>
      <w:r w:rsidR="005C3D1B" w:rsidRPr="00173165">
        <w:rPr>
          <w:color w:val="000000"/>
        </w:rPr>
        <w:t>28473</w:t>
      </w:r>
      <w:r w:rsidR="00171B18" w:rsidRPr="00173165">
        <w:rPr>
          <w:color w:val="000000"/>
        </w:rPr>
        <w:t>1</w:t>
      </w:r>
      <w:r w:rsidR="005C3D1B" w:rsidRPr="00173165">
        <w:rPr>
          <w:color w:val="000000"/>
        </w:rPr>
        <w:t>,2</w:t>
      </w:r>
      <w:r w:rsidRPr="00173165">
        <w:rPr>
          <w:color w:val="000000"/>
        </w:rPr>
        <w:t xml:space="preserve"> </w:t>
      </w:r>
      <w:r w:rsidRPr="00173165">
        <w:t>тыс</w:t>
      </w:r>
      <w:r w:rsidRPr="00173165">
        <w:rPr>
          <w:color w:val="000000"/>
        </w:rPr>
        <w:t>. руб. или 9</w:t>
      </w:r>
      <w:r w:rsidR="00171B18" w:rsidRPr="00173165">
        <w:rPr>
          <w:color w:val="000000"/>
        </w:rPr>
        <w:t>1</w:t>
      </w:r>
      <w:r w:rsidRPr="00173165">
        <w:rPr>
          <w:color w:val="000000"/>
        </w:rPr>
        <w:t xml:space="preserve"> % в общем объеме расходов.  В структуру программной части входит исполнение </w:t>
      </w:r>
      <w:r w:rsidR="00E81B3D" w:rsidRPr="00173165">
        <w:rPr>
          <w:color w:val="000000"/>
        </w:rPr>
        <w:t>трех</w:t>
      </w:r>
      <w:r w:rsidRPr="00173165">
        <w:rPr>
          <w:color w:val="000000"/>
        </w:rPr>
        <w:t xml:space="preserve"> муниципальных программ (далее – МП).</w:t>
      </w:r>
    </w:p>
    <w:p w:rsidR="00DB2122" w:rsidRPr="00173165" w:rsidRDefault="00DB2122" w:rsidP="00DB2122">
      <w:pPr>
        <w:jc w:val="both"/>
        <w:rPr>
          <w:color w:val="000000"/>
        </w:rPr>
      </w:pPr>
      <w:r w:rsidRPr="00173165">
        <w:rPr>
          <w:color w:val="000000"/>
        </w:rPr>
        <w:t xml:space="preserve">    В течение года изменения в бюджетную роспись Управления образования вносились на основании уведомлений об изменении бюджетных ассигнований, уведомлений об изменении лимитов бюджетных обязательств.</w:t>
      </w:r>
    </w:p>
    <w:p w:rsidR="00C008AB" w:rsidRPr="00173165" w:rsidRDefault="00DB2122" w:rsidP="00DB2122">
      <w:pPr>
        <w:ind w:firstLine="540"/>
        <w:jc w:val="both"/>
        <w:outlineLvl w:val="0"/>
        <w:rPr>
          <w:bCs/>
        </w:rPr>
      </w:pPr>
      <w:r w:rsidRPr="00173165">
        <w:rPr>
          <w:b/>
          <w:bCs/>
        </w:rPr>
        <w:t xml:space="preserve">Учет подотчетных сумм </w:t>
      </w:r>
      <w:r w:rsidRPr="00173165">
        <w:rPr>
          <w:bCs/>
        </w:rPr>
        <w:t xml:space="preserve">в Управлении образования осуществлялся на </w:t>
      </w:r>
      <w:proofErr w:type="spellStart"/>
      <w:r w:rsidRPr="00173165">
        <w:rPr>
          <w:bCs/>
        </w:rPr>
        <w:t>субсчете</w:t>
      </w:r>
      <w:proofErr w:type="spellEnd"/>
      <w:r w:rsidRPr="00173165">
        <w:rPr>
          <w:bCs/>
        </w:rPr>
        <w:t xml:space="preserve"> 0 208 00 000 «Расчеты с подотчетными лицами». В учреждении утвержден перечень лиц, имеющих право получать подотчетные суммы. Со всеми материально-ответственными лицами заключены договора о материальной ответственности. В учетной политике учреждения в проверяемом периоде установлен срок сдачи отчетов подотчетными лицами о полученных ими подотчетных суммах, установленные сроки не нарушались подотчетными лицами. </w:t>
      </w:r>
    </w:p>
    <w:p w:rsidR="00DB2122" w:rsidRPr="00173165" w:rsidRDefault="00DB2122" w:rsidP="00DB2122">
      <w:pPr>
        <w:ind w:firstLine="540"/>
        <w:jc w:val="both"/>
        <w:outlineLvl w:val="0"/>
        <w:rPr>
          <w:bCs/>
        </w:rPr>
      </w:pPr>
      <w:r w:rsidRPr="00173165">
        <w:rPr>
          <w:b/>
          <w:bCs/>
        </w:rPr>
        <w:t xml:space="preserve">Учет расчетов с различными дебиторами и кредиторами </w:t>
      </w:r>
      <w:r w:rsidRPr="00173165">
        <w:rPr>
          <w:bCs/>
        </w:rPr>
        <w:t>осуществлялся</w:t>
      </w:r>
      <w:r w:rsidRPr="00173165">
        <w:rPr>
          <w:b/>
          <w:bCs/>
        </w:rPr>
        <w:t xml:space="preserve"> </w:t>
      </w:r>
      <w:r w:rsidRPr="00173165">
        <w:rPr>
          <w:bCs/>
        </w:rPr>
        <w:t xml:space="preserve">на </w:t>
      </w:r>
      <w:proofErr w:type="spellStart"/>
      <w:r w:rsidRPr="00173165">
        <w:rPr>
          <w:bCs/>
        </w:rPr>
        <w:t>субсчете</w:t>
      </w:r>
      <w:proofErr w:type="spellEnd"/>
      <w:r w:rsidRPr="00173165">
        <w:rPr>
          <w:bCs/>
        </w:rPr>
        <w:t xml:space="preserve"> 0 302 00 000 «Расчеты с поставщиками и подрядчиками», где учитывались расчеты по оплате труда, расчеты за оказанные </w:t>
      </w:r>
      <w:r w:rsidR="00C008AB" w:rsidRPr="00173165">
        <w:rPr>
          <w:bCs/>
        </w:rPr>
        <w:t>у</w:t>
      </w:r>
      <w:r w:rsidRPr="00173165">
        <w:rPr>
          <w:bCs/>
        </w:rPr>
        <w:t>слуги, выполненные работы подрядчиками. Аналитический учет расчетов с поставщиками и подрядчиками ведется в Журнале операций по расчетам с поставщиками и подрядчиками.</w:t>
      </w:r>
    </w:p>
    <w:p w:rsidR="00DB2122" w:rsidRPr="00173165" w:rsidRDefault="00DB2122" w:rsidP="00DB2122">
      <w:pPr>
        <w:ind w:firstLine="540"/>
        <w:jc w:val="both"/>
        <w:outlineLvl w:val="0"/>
        <w:rPr>
          <w:bCs/>
        </w:rPr>
      </w:pPr>
      <w:r w:rsidRPr="00173165">
        <w:rPr>
          <w:bCs/>
        </w:rPr>
        <w:t>На 01.01.20</w:t>
      </w:r>
      <w:r w:rsidR="000E5E43" w:rsidRPr="00173165">
        <w:rPr>
          <w:bCs/>
        </w:rPr>
        <w:t>2</w:t>
      </w:r>
      <w:r w:rsidR="00E75F2F" w:rsidRPr="00173165">
        <w:rPr>
          <w:bCs/>
        </w:rPr>
        <w:t>3</w:t>
      </w:r>
      <w:r w:rsidRPr="00173165">
        <w:rPr>
          <w:bCs/>
        </w:rPr>
        <w:t xml:space="preserve">г. кредиторская задолженность составила </w:t>
      </w:r>
      <w:r w:rsidR="00E75F2F" w:rsidRPr="00173165">
        <w:rPr>
          <w:bCs/>
        </w:rPr>
        <w:t>1911,4</w:t>
      </w:r>
      <w:r w:rsidRPr="00173165">
        <w:rPr>
          <w:bCs/>
        </w:rPr>
        <w:t xml:space="preserve"> тыс.</w:t>
      </w:r>
      <w:r w:rsidR="00E94E6C" w:rsidRPr="00173165">
        <w:rPr>
          <w:bCs/>
        </w:rPr>
        <w:t xml:space="preserve"> </w:t>
      </w:r>
      <w:r w:rsidRPr="00173165">
        <w:rPr>
          <w:bCs/>
        </w:rPr>
        <w:t>руб.</w:t>
      </w:r>
    </w:p>
    <w:p w:rsidR="00250BE9" w:rsidRPr="00173165" w:rsidRDefault="00250BE9" w:rsidP="00DB2122">
      <w:pPr>
        <w:ind w:firstLine="540"/>
        <w:jc w:val="both"/>
        <w:outlineLvl w:val="0"/>
        <w:rPr>
          <w:bCs/>
          <w:i/>
        </w:rPr>
      </w:pPr>
      <w:r w:rsidRPr="00173165">
        <w:rPr>
          <w:bCs/>
        </w:rPr>
        <w:t>Дебиторская задолженность родительской платы в МБУ</w:t>
      </w:r>
      <w:r w:rsidR="00A17261" w:rsidRPr="00173165">
        <w:rPr>
          <w:bCs/>
        </w:rPr>
        <w:t xml:space="preserve"> </w:t>
      </w:r>
      <w:r w:rsidRPr="00173165">
        <w:rPr>
          <w:bCs/>
        </w:rPr>
        <w:t>ДОУ № 5 составляет 237,5 тыс. руб.</w:t>
      </w:r>
      <w:r w:rsidR="00A17261" w:rsidRPr="00173165">
        <w:rPr>
          <w:bCs/>
        </w:rPr>
        <w:t xml:space="preserve"> дебиторская задолженность образовалась по вине администрации МБУ ДОУ № 5. Распоряжением и. о. Главы муниципального образования деятельность МБУ ДОУ № 5 приостановлена с 15.10.2021г. С этого периода родительская плата за содержание детей должна была поступить в другие садики куда распределили детей, но администрацией ДОУ не были сделаны соответствующие распоряжения, в связи с чем родительская плата поступила на лицевой счет Доу №5. </w:t>
      </w:r>
      <w:r w:rsidR="00A17261" w:rsidRPr="00173165">
        <w:rPr>
          <w:bCs/>
          <w:i/>
        </w:rPr>
        <w:t>Таким образом, дебиторская задолженность по родительской плате</w:t>
      </w:r>
      <w:r w:rsidR="00CA2811" w:rsidRPr="00173165">
        <w:rPr>
          <w:bCs/>
          <w:i/>
        </w:rPr>
        <w:t xml:space="preserve"> на сумму 237,5 тыс. руб.</w:t>
      </w:r>
      <w:r w:rsidR="00A17261" w:rsidRPr="00173165">
        <w:rPr>
          <w:bCs/>
          <w:i/>
        </w:rPr>
        <w:t xml:space="preserve">, образовавшиеся из-за не правильных действий администрации ДОУ№5, является неэффективным использованием бюджетных средств. </w:t>
      </w:r>
    </w:p>
    <w:p w:rsidR="00DB2122" w:rsidRPr="00173165" w:rsidRDefault="00DB2122" w:rsidP="00DB2122">
      <w:pPr>
        <w:ind w:firstLine="540"/>
        <w:jc w:val="both"/>
        <w:outlineLvl w:val="0"/>
        <w:rPr>
          <w:b/>
          <w:bCs/>
        </w:rPr>
      </w:pPr>
      <w:r w:rsidRPr="00173165">
        <w:rPr>
          <w:b/>
          <w:bCs/>
        </w:rPr>
        <w:t xml:space="preserve">Учет основных средств </w:t>
      </w:r>
    </w:p>
    <w:p w:rsidR="00DB2122" w:rsidRPr="00173165" w:rsidRDefault="00DB2122" w:rsidP="00DB2122">
      <w:pPr>
        <w:ind w:firstLine="540"/>
        <w:jc w:val="both"/>
        <w:outlineLvl w:val="0"/>
        <w:rPr>
          <w:bCs/>
        </w:rPr>
      </w:pPr>
      <w:r w:rsidRPr="00173165">
        <w:rPr>
          <w:bCs/>
        </w:rPr>
        <w:t>В централ</w:t>
      </w:r>
      <w:r w:rsidR="00C008AB" w:rsidRPr="00173165">
        <w:rPr>
          <w:bCs/>
        </w:rPr>
        <w:t>изованной</w:t>
      </w:r>
      <w:r w:rsidRPr="00173165">
        <w:rPr>
          <w:bCs/>
        </w:rPr>
        <w:t xml:space="preserve"> бухгалтерии Управления образования учет основных средств организован по классификационным группам в разрезе инвентарных объектов. Аналитический учет ведется на инвентарных карточках по каждому инвентарному объекту.  Основные средства находятся на ответственном хранении материально-ответственных лиц, с которыми заключены договоры о полной материальной ответственности.</w:t>
      </w:r>
    </w:p>
    <w:p w:rsidR="00DB2122" w:rsidRPr="00173165" w:rsidRDefault="00DB2122" w:rsidP="00DB2122">
      <w:pPr>
        <w:ind w:firstLine="540"/>
        <w:jc w:val="both"/>
        <w:outlineLvl w:val="0"/>
        <w:rPr>
          <w:bCs/>
          <w:color w:val="FF0000"/>
        </w:rPr>
      </w:pPr>
      <w:r w:rsidRPr="00173165">
        <w:rPr>
          <w:bCs/>
        </w:rPr>
        <w:lastRenderedPageBreak/>
        <w:t>По состоянию на 01.01.20</w:t>
      </w:r>
      <w:r w:rsidR="000E5E43" w:rsidRPr="00173165">
        <w:rPr>
          <w:bCs/>
        </w:rPr>
        <w:t>2</w:t>
      </w:r>
      <w:r w:rsidR="003F4C41" w:rsidRPr="00173165">
        <w:rPr>
          <w:bCs/>
        </w:rPr>
        <w:t>2</w:t>
      </w:r>
      <w:r w:rsidRPr="00173165">
        <w:rPr>
          <w:bCs/>
        </w:rPr>
        <w:t>г. балансовая стоимость основных средств составила</w:t>
      </w:r>
      <w:r w:rsidR="00B368AA" w:rsidRPr="00173165">
        <w:rPr>
          <w:bCs/>
        </w:rPr>
        <w:t xml:space="preserve"> 832859,0 тыс. руб. </w:t>
      </w:r>
      <w:r w:rsidRPr="00173165">
        <w:rPr>
          <w:bCs/>
        </w:rPr>
        <w:t>В 20</w:t>
      </w:r>
      <w:r w:rsidR="000E5E43" w:rsidRPr="00173165">
        <w:rPr>
          <w:bCs/>
        </w:rPr>
        <w:t>2</w:t>
      </w:r>
      <w:r w:rsidR="00B368AA" w:rsidRPr="00173165">
        <w:rPr>
          <w:bCs/>
        </w:rPr>
        <w:t>2</w:t>
      </w:r>
      <w:r w:rsidRPr="00173165">
        <w:rPr>
          <w:bCs/>
        </w:rPr>
        <w:t xml:space="preserve"> году приобретены основные средства на сумму </w:t>
      </w:r>
      <w:r w:rsidR="00B368AA" w:rsidRPr="00173165">
        <w:rPr>
          <w:bCs/>
        </w:rPr>
        <w:t>15066,0</w:t>
      </w:r>
      <w:r w:rsidRPr="00173165">
        <w:rPr>
          <w:bCs/>
        </w:rPr>
        <w:t xml:space="preserve"> тыс. руб., выбыло на сумму </w:t>
      </w:r>
      <w:r w:rsidR="00B368AA" w:rsidRPr="00173165">
        <w:rPr>
          <w:bCs/>
        </w:rPr>
        <w:t>178705,0</w:t>
      </w:r>
      <w:r w:rsidR="000E5E43" w:rsidRPr="00173165">
        <w:rPr>
          <w:bCs/>
        </w:rPr>
        <w:t xml:space="preserve"> </w:t>
      </w:r>
      <w:r w:rsidRPr="00173165">
        <w:rPr>
          <w:bCs/>
        </w:rPr>
        <w:t xml:space="preserve">тыс. руб.  Проверкой установлено, что все полученные основные средства оприходованы по фактической стоимости на счете 0 105 00 000 соответствующих аналитических счетов. </w:t>
      </w:r>
    </w:p>
    <w:p w:rsidR="00DB2122" w:rsidRPr="00173165" w:rsidRDefault="00DB2122" w:rsidP="00DB2122">
      <w:pPr>
        <w:ind w:firstLine="540"/>
        <w:jc w:val="both"/>
        <w:outlineLvl w:val="0"/>
        <w:rPr>
          <w:bCs/>
        </w:rPr>
      </w:pPr>
      <w:r w:rsidRPr="00173165">
        <w:rPr>
          <w:bCs/>
        </w:rPr>
        <w:t xml:space="preserve">Приход, расход, перемещение и списание основных средств производится в соответствии с Инструкцией 157-н. </w:t>
      </w:r>
    </w:p>
    <w:p w:rsidR="008214CE" w:rsidRPr="00173165" w:rsidRDefault="008214CE" w:rsidP="008214CE">
      <w:pPr>
        <w:ind w:firstLine="540"/>
        <w:jc w:val="both"/>
        <w:outlineLvl w:val="0"/>
        <w:rPr>
          <w:bCs/>
          <w:i/>
        </w:rPr>
      </w:pPr>
      <w:r w:rsidRPr="00173165">
        <w:rPr>
          <w:bCs/>
          <w:i/>
        </w:rPr>
        <w:t>В нарушение пунктов 7.4.2, 7.4.3 Положения № 325 от 28.12.2005г «О порядке владения, управления и распоряжения муниципальной собственностью МО «Город Адыгейск» без распоряжения руководителя ДОУ № 5 и уведомления Администрации МО «Город Адыгейск» был передан инвентарь на сумму 58,8 тыс. руб., в том числе:</w:t>
      </w:r>
    </w:p>
    <w:p w:rsidR="008214CE" w:rsidRPr="00173165" w:rsidRDefault="008214CE" w:rsidP="008214CE">
      <w:pPr>
        <w:ind w:firstLine="540"/>
        <w:jc w:val="both"/>
        <w:outlineLvl w:val="0"/>
        <w:rPr>
          <w:bCs/>
          <w:i/>
        </w:rPr>
      </w:pPr>
      <w:r w:rsidRPr="00173165">
        <w:rPr>
          <w:bCs/>
          <w:i/>
        </w:rPr>
        <w:t>- МБДОУ № 2 от 18.11.2022г.  на сумму 49,8 тыс. руб.;</w:t>
      </w:r>
    </w:p>
    <w:p w:rsidR="008214CE" w:rsidRPr="00173165" w:rsidRDefault="008214CE" w:rsidP="008214CE">
      <w:pPr>
        <w:ind w:firstLine="540"/>
        <w:jc w:val="both"/>
        <w:outlineLvl w:val="0"/>
        <w:rPr>
          <w:bCs/>
          <w:i/>
        </w:rPr>
      </w:pPr>
      <w:r w:rsidRPr="00173165">
        <w:rPr>
          <w:bCs/>
          <w:i/>
        </w:rPr>
        <w:t>- МБДОУ № 1 от 18.11.2022г. на сумму 3,7 тыс. руб.;</w:t>
      </w:r>
    </w:p>
    <w:p w:rsidR="008214CE" w:rsidRPr="00173165" w:rsidRDefault="008214CE" w:rsidP="008214CE">
      <w:pPr>
        <w:ind w:firstLine="540"/>
        <w:jc w:val="both"/>
        <w:outlineLvl w:val="0"/>
        <w:rPr>
          <w:bCs/>
          <w:i/>
        </w:rPr>
      </w:pPr>
      <w:r w:rsidRPr="00173165">
        <w:rPr>
          <w:bCs/>
          <w:i/>
        </w:rPr>
        <w:t>- МБДОУ № 6 от 05.12.2022г. на сумму 5,3 тыс. руб.</w:t>
      </w:r>
    </w:p>
    <w:p w:rsidR="00820CF1" w:rsidRPr="00173165" w:rsidRDefault="00820CF1" w:rsidP="00820CF1">
      <w:pPr>
        <w:pStyle w:val="ConsPlusNonformat"/>
        <w:jc w:val="both"/>
        <w:rPr>
          <w:rFonts w:ascii="Times New Roman" w:hAnsi="Times New Roman" w:cs="Times New Roman"/>
          <w:sz w:val="24"/>
          <w:szCs w:val="24"/>
        </w:rPr>
      </w:pPr>
      <w:r w:rsidRPr="00173165">
        <w:rPr>
          <w:rFonts w:ascii="Times New Roman" w:hAnsi="Times New Roman" w:cs="Times New Roman"/>
          <w:b/>
          <w:sz w:val="24"/>
          <w:szCs w:val="24"/>
        </w:rPr>
        <w:t xml:space="preserve">Учет операций с нефинансовыми активами. </w:t>
      </w:r>
      <w:r w:rsidRPr="00173165">
        <w:rPr>
          <w:rFonts w:ascii="Times New Roman" w:hAnsi="Times New Roman" w:cs="Times New Roman"/>
          <w:sz w:val="24"/>
          <w:szCs w:val="24"/>
        </w:rPr>
        <w:t xml:space="preserve">Учет основных средств, материальных запасов Учреждением ведется в соответствии с требованиями Закона 402-ФЗ, Инструкцией № 157н. </w:t>
      </w:r>
    </w:p>
    <w:p w:rsidR="00820CF1" w:rsidRPr="00173165" w:rsidRDefault="00820CF1" w:rsidP="00820CF1">
      <w:pPr>
        <w:pStyle w:val="ConsPlusNonformat"/>
        <w:ind w:firstLine="709"/>
        <w:jc w:val="both"/>
        <w:rPr>
          <w:rFonts w:ascii="Times New Roman" w:hAnsi="Times New Roman" w:cs="Times New Roman"/>
          <w:sz w:val="24"/>
          <w:szCs w:val="24"/>
        </w:rPr>
      </w:pPr>
      <w:r w:rsidRPr="00173165">
        <w:rPr>
          <w:rFonts w:ascii="Times New Roman" w:hAnsi="Times New Roman" w:cs="Times New Roman"/>
          <w:sz w:val="24"/>
          <w:szCs w:val="24"/>
        </w:rPr>
        <w:t>Порядок отнесения материальных ценностей к основным ценностям, а также материальным запасам определен в Инструкции 157н, Учетной политике.</w:t>
      </w:r>
    </w:p>
    <w:p w:rsidR="00820CF1" w:rsidRPr="00173165" w:rsidRDefault="00820CF1" w:rsidP="00820CF1">
      <w:pPr>
        <w:pStyle w:val="ConsPlusNonformat"/>
        <w:ind w:firstLine="709"/>
        <w:jc w:val="both"/>
        <w:rPr>
          <w:rFonts w:ascii="Times New Roman" w:hAnsi="Times New Roman" w:cs="Times New Roman"/>
          <w:sz w:val="24"/>
          <w:szCs w:val="24"/>
        </w:rPr>
      </w:pPr>
      <w:r w:rsidRPr="00173165">
        <w:rPr>
          <w:rFonts w:ascii="Times New Roman" w:hAnsi="Times New Roman" w:cs="Times New Roman"/>
          <w:sz w:val="24"/>
          <w:szCs w:val="24"/>
        </w:rPr>
        <w:t xml:space="preserve">Основные средства принимаются к бухгалтерскому учету по первоначальной стоимости, сформированной при их приобретении. </w:t>
      </w:r>
    </w:p>
    <w:p w:rsidR="008214CE" w:rsidRPr="00173165" w:rsidRDefault="00820CF1" w:rsidP="00173165">
      <w:pPr>
        <w:autoSpaceDE w:val="0"/>
        <w:autoSpaceDN w:val="0"/>
        <w:adjustRightInd w:val="0"/>
        <w:ind w:firstLine="709"/>
        <w:jc w:val="both"/>
        <w:rPr>
          <w:b/>
          <w:bCs/>
        </w:rPr>
      </w:pPr>
      <w:r w:rsidRPr="00173165">
        <w:t xml:space="preserve">Согласно п. 46 Инструкции 157н, п. 9 ч. 3 Федерального стандарта «Основные средства» необходимо </w:t>
      </w:r>
      <w:r w:rsidRPr="00173165">
        <w:rPr>
          <w:color w:val="000000"/>
          <w:shd w:val="clear" w:color="auto" w:fill="FFFFFF"/>
        </w:rPr>
        <w:t>каждому инвентарному объекту основных средств присваивать инвентарный номер в порядке, установленном учетной политикой с учетом положений настоящего Стандарта и </w:t>
      </w:r>
      <w:hyperlink r:id="rId8" w:anchor="l140" w:tgtFrame="_blank" w:history="1">
        <w:r w:rsidRPr="00173165">
          <w:rPr>
            <w:rStyle w:val="a6"/>
            <w:shd w:val="clear" w:color="auto" w:fill="FFFFFF"/>
          </w:rPr>
          <w:t>Инструкции</w:t>
        </w:r>
      </w:hyperlink>
      <w:r w:rsidRPr="00173165">
        <w:t xml:space="preserve"> 157н. </w:t>
      </w:r>
      <w:r w:rsidRPr="00173165">
        <w:rPr>
          <w:i/>
        </w:rPr>
        <w:t>В нарушение п. 46 Инструкции 157н, п. 9 ч. 3 Федерального стандарта «Основные средства» в учетной политике данный порядок не установлен</w:t>
      </w:r>
      <w:r w:rsidRPr="00173165">
        <w:t>.</w:t>
      </w:r>
    </w:p>
    <w:p w:rsidR="00DB2122" w:rsidRPr="00173165" w:rsidRDefault="00DB2122" w:rsidP="00DB2122">
      <w:pPr>
        <w:ind w:firstLine="540"/>
        <w:jc w:val="center"/>
        <w:outlineLvl w:val="0"/>
      </w:pPr>
      <w:r w:rsidRPr="00173165">
        <w:rPr>
          <w:b/>
          <w:bCs/>
        </w:rPr>
        <w:t>Вопросы оплаты труда в Управлении образования</w:t>
      </w:r>
    </w:p>
    <w:p w:rsidR="00DB2122" w:rsidRPr="00173165" w:rsidRDefault="00DB2122" w:rsidP="00DB2122">
      <w:pPr>
        <w:ind w:firstLine="540"/>
        <w:jc w:val="both"/>
      </w:pPr>
      <w:r w:rsidRPr="00173165">
        <w:t>Вопросы оплаты труда регламентировались Постановлением Кабинета Министров Республики Адыгея от 01.06.2009г. №13 «О введении новых систем оплаты труда работников государственных учреждений Республики Адыгея, подведомственных Министерству образования и науки Республики Адыгея, по видам экономической деятельности», Положениями об оплате труда работников, муниципальных образовательных учреждений подведомственных Управлению образования, по видам экономической деятельности (изменениями и дополнениями к нему), коллективными договорами, штатными расписаниями, тарификационными списками, приказами по учреждениям.</w:t>
      </w:r>
    </w:p>
    <w:p w:rsidR="00DB2122" w:rsidRPr="00173165" w:rsidRDefault="00DB2122" w:rsidP="00DB2122">
      <w:pPr>
        <w:ind w:firstLine="540"/>
        <w:jc w:val="both"/>
      </w:pPr>
      <w:r w:rsidRPr="00173165">
        <w:t>Выборочной проверкой соблюдения муниципальными учреждениями Управления образования по оплате труда установлено следующее.</w:t>
      </w:r>
    </w:p>
    <w:p w:rsidR="00DB2122" w:rsidRPr="00173165" w:rsidRDefault="00DB2122" w:rsidP="00DB2122">
      <w:pPr>
        <w:ind w:firstLine="540"/>
        <w:jc w:val="both"/>
      </w:pPr>
      <w:r w:rsidRPr="00173165">
        <w:t>Штатные расписания учреждений образования, тарификационные списки составлены, в разрезе административно-управленческого, учебно-вспомогательного хозяйственно-обслуживающего персоналами утверждены руководителями учреждений.</w:t>
      </w:r>
    </w:p>
    <w:p w:rsidR="00DB2122" w:rsidRPr="00173165" w:rsidRDefault="00DB2122" w:rsidP="00DB2122">
      <w:pPr>
        <w:ind w:firstLine="540"/>
        <w:jc w:val="both"/>
      </w:pPr>
      <w:r w:rsidRPr="00173165">
        <w:t>Начисление заработной платы педагогическим работникам производится на основании тарификационных списков, составленных на учебный год (сентябрь 20</w:t>
      </w:r>
      <w:r w:rsidR="003F4C41" w:rsidRPr="00173165">
        <w:t>21</w:t>
      </w:r>
      <w:r w:rsidRPr="00173165">
        <w:t xml:space="preserve"> года – сентябрь 20</w:t>
      </w:r>
      <w:r w:rsidR="003F4C41" w:rsidRPr="00173165">
        <w:t>22</w:t>
      </w:r>
      <w:r w:rsidRPr="00173165">
        <w:t xml:space="preserve"> года, сентябрь 20</w:t>
      </w:r>
      <w:r w:rsidR="003F4C41" w:rsidRPr="00173165">
        <w:t>22</w:t>
      </w:r>
      <w:r w:rsidRPr="00173165">
        <w:t xml:space="preserve"> года – сентябрь 20</w:t>
      </w:r>
      <w:r w:rsidR="00236E4A" w:rsidRPr="00173165">
        <w:t>2</w:t>
      </w:r>
      <w:r w:rsidR="003F4C41" w:rsidRPr="00173165">
        <w:t>3</w:t>
      </w:r>
      <w:r w:rsidRPr="00173165">
        <w:t xml:space="preserve"> года) и утвержденных начальником Управления образования.</w:t>
      </w:r>
    </w:p>
    <w:p w:rsidR="00DB2122" w:rsidRPr="00173165" w:rsidRDefault="00DB2122" w:rsidP="00DB2122">
      <w:pPr>
        <w:ind w:firstLine="540"/>
        <w:jc w:val="both"/>
      </w:pPr>
      <w:r w:rsidRPr="00173165">
        <w:t>Размер оплаты труда работников образовательных учреждений определен с учетом следующих условий:</w:t>
      </w:r>
    </w:p>
    <w:p w:rsidR="00DB2122" w:rsidRPr="00173165" w:rsidRDefault="00DB2122" w:rsidP="00DB2122">
      <w:pPr>
        <w:ind w:firstLine="540"/>
        <w:jc w:val="both"/>
      </w:pPr>
      <w:r w:rsidRPr="00173165">
        <w:t>- продолжительности рабочего времени;</w:t>
      </w:r>
    </w:p>
    <w:p w:rsidR="00DB2122" w:rsidRPr="00173165" w:rsidRDefault="00DB2122" w:rsidP="00DB2122">
      <w:pPr>
        <w:ind w:firstLine="540"/>
        <w:jc w:val="both"/>
      </w:pPr>
      <w:r w:rsidRPr="00173165">
        <w:t>- порядка начисления заработной платы педагогических работников на основе тарификации;</w:t>
      </w:r>
    </w:p>
    <w:p w:rsidR="00DB2122" w:rsidRPr="00173165" w:rsidRDefault="00DB2122" w:rsidP="00DB2122">
      <w:pPr>
        <w:ind w:firstLine="540"/>
        <w:jc w:val="both"/>
      </w:pPr>
      <w:r w:rsidRPr="00173165">
        <w:t>-объемов часовой нагрузки.</w:t>
      </w:r>
    </w:p>
    <w:p w:rsidR="006A6D6A" w:rsidRPr="00173165" w:rsidRDefault="00DB2122" w:rsidP="00DB2122">
      <w:pPr>
        <w:ind w:firstLine="540"/>
        <w:jc w:val="both"/>
      </w:pPr>
      <w:r w:rsidRPr="00173165">
        <w:lastRenderedPageBreak/>
        <w:t xml:space="preserve">Для учета фактически отработанного работниками времени применяется табель учета использования рабочего времени и расчета заработной платы. </w:t>
      </w:r>
    </w:p>
    <w:p w:rsidR="006A6D6A" w:rsidRPr="00173165" w:rsidRDefault="006A6D6A" w:rsidP="00DB2122">
      <w:pPr>
        <w:ind w:firstLine="540"/>
        <w:jc w:val="both"/>
        <w:rPr>
          <w:i/>
        </w:rPr>
      </w:pPr>
      <w:r w:rsidRPr="00173165">
        <w:t xml:space="preserve">Временное исполнение обязанностей по должности отсутствующего работника возлагается на другого работника приказом по учреждению. Замещающему работнику выплачивается разница между его фактическим окладом и должностным окладом замещаемого работника. При переводе на другую работу или замещении работодатель обязан издать приказ и ознакомить работника под роспись в трехдневный срок со дня фактического начала работы. В ДОУ № 4, ДОУ № 6 и ДОУ № 2 оформление приказов осуществляется позднее, чем начало работы по замещениям. </w:t>
      </w:r>
      <w:r w:rsidRPr="00173165">
        <w:rPr>
          <w:i/>
        </w:rPr>
        <w:t>Без своевременного оформления приказов выплачено бюджетных средств в ДОУ №</w:t>
      </w:r>
      <w:r w:rsidR="004F730D" w:rsidRPr="00173165">
        <w:rPr>
          <w:i/>
        </w:rPr>
        <w:t xml:space="preserve"> 4</w:t>
      </w:r>
      <w:r w:rsidRPr="00173165">
        <w:rPr>
          <w:i/>
        </w:rPr>
        <w:t xml:space="preserve"> в сумме 54,2 тыс. руб., в ДОУ № 6 в сумме </w:t>
      </w:r>
      <w:r w:rsidR="004F730D" w:rsidRPr="00173165">
        <w:rPr>
          <w:i/>
        </w:rPr>
        <w:t>31,8 тыс. руб., в ДОУ № 2 в сумме 25,4 тыс. руб.</w:t>
      </w:r>
    </w:p>
    <w:p w:rsidR="002E7526" w:rsidRPr="00173165" w:rsidRDefault="00DB2122" w:rsidP="00DB2122">
      <w:pPr>
        <w:ind w:firstLine="540"/>
        <w:jc w:val="both"/>
      </w:pPr>
      <w:r w:rsidRPr="00173165">
        <w:t xml:space="preserve"> В новом постановлении Правительства РФ № 419 от 7 апреля 2017 года разъясняется, что продолжительность  отпусков 42 и 56  календарных дней  установлена педагогическим  работникам, заместителям  руководителей,  руководителям  структурных подразделений и их  заместителей, при условии, что их  деятельность связана с руководством научной или творческой деятельностью, но  только в образовательных организациях, в том  числе  имеющих право  реализации основных и  дополнительных образовательных  программ. </w:t>
      </w:r>
    </w:p>
    <w:p w:rsidR="002E7526" w:rsidRPr="00173165" w:rsidRDefault="002E7526" w:rsidP="00DB2122">
      <w:pPr>
        <w:ind w:firstLine="540"/>
        <w:jc w:val="both"/>
      </w:pPr>
      <w:r w:rsidRPr="00173165">
        <w:t>В</w:t>
      </w:r>
      <w:r w:rsidR="003B694B" w:rsidRPr="00173165">
        <w:t xml:space="preserve"> соответствии с ч. 2</w:t>
      </w:r>
      <w:r w:rsidRPr="00173165">
        <w:t xml:space="preserve"> ст. 125 ТК РФ </w:t>
      </w:r>
      <w:r w:rsidR="003B694B" w:rsidRPr="00173165">
        <w:t>работодатель может отозвать работника из отпуска, если это необходимо по тем или иным производственным нуждам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(в ред. Федерального закона от 14.07.2022 № 273-ФЗ)</w:t>
      </w:r>
    </w:p>
    <w:p w:rsidR="003B694B" w:rsidRPr="00173165" w:rsidRDefault="00DB2122" w:rsidP="00DB2122">
      <w:pPr>
        <w:ind w:firstLine="540"/>
        <w:jc w:val="both"/>
      </w:pPr>
      <w:r w:rsidRPr="00173165">
        <w:t xml:space="preserve">Выборочной проверкой, установлено, что </w:t>
      </w:r>
      <w:r w:rsidR="0004474B" w:rsidRPr="00173165">
        <w:t>педагогические</w:t>
      </w:r>
      <w:r w:rsidR="00FB2932" w:rsidRPr="00173165">
        <w:t xml:space="preserve"> работники средней школы №4 а. </w:t>
      </w:r>
      <w:proofErr w:type="spellStart"/>
      <w:r w:rsidR="00FB2932" w:rsidRPr="00173165">
        <w:t>Гатлукай</w:t>
      </w:r>
      <w:proofErr w:type="spellEnd"/>
      <w:r w:rsidR="00FB2932" w:rsidRPr="00173165">
        <w:t xml:space="preserve"> были отозваны с отпуска </w:t>
      </w:r>
      <w:proofErr w:type="spellStart"/>
      <w:r w:rsidR="00FB2932" w:rsidRPr="00173165">
        <w:t>Блягоз</w:t>
      </w:r>
      <w:proofErr w:type="spellEnd"/>
      <w:r w:rsidR="00FB2932" w:rsidRPr="00173165">
        <w:t xml:space="preserve"> Фатима </w:t>
      </w:r>
      <w:proofErr w:type="spellStart"/>
      <w:r w:rsidR="00FB2932" w:rsidRPr="00173165">
        <w:t>Казбековна</w:t>
      </w:r>
      <w:proofErr w:type="spellEnd"/>
      <w:r w:rsidR="00FB2932" w:rsidRPr="00173165">
        <w:t xml:space="preserve"> на 43 дня и </w:t>
      </w:r>
      <w:proofErr w:type="spellStart"/>
      <w:proofErr w:type="gramStart"/>
      <w:r w:rsidR="00FB2932" w:rsidRPr="00173165">
        <w:t>Панеш</w:t>
      </w:r>
      <w:proofErr w:type="spellEnd"/>
      <w:r w:rsidR="00FB2932" w:rsidRPr="00173165">
        <w:t xml:space="preserve"> </w:t>
      </w:r>
      <w:r w:rsidR="005726B3" w:rsidRPr="00173165">
        <w:t xml:space="preserve"> </w:t>
      </w:r>
      <w:proofErr w:type="spellStart"/>
      <w:r w:rsidR="00FB2932" w:rsidRPr="00173165">
        <w:t>Марзет</w:t>
      </w:r>
      <w:proofErr w:type="spellEnd"/>
      <w:proofErr w:type="gramEnd"/>
      <w:r w:rsidR="00FB2932" w:rsidRPr="00173165">
        <w:t xml:space="preserve"> Руслановна на 30 дней. Отпускные были </w:t>
      </w:r>
      <w:r w:rsidRPr="00173165">
        <w:t>начисл</w:t>
      </w:r>
      <w:r w:rsidR="00FB2932" w:rsidRPr="00173165">
        <w:t>ены</w:t>
      </w:r>
      <w:r w:rsidRPr="00173165">
        <w:t xml:space="preserve"> и выплач</w:t>
      </w:r>
      <w:r w:rsidR="00FB2932" w:rsidRPr="00173165">
        <w:t>ены в полном объеме</w:t>
      </w:r>
      <w:r w:rsidR="00154240" w:rsidRPr="00173165">
        <w:t xml:space="preserve">. </w:t>
      </w:r>
    </w:p>
    <w:p w:rsidR="003B694B" w:rsidRPr="00173165" w:rsidRDefault="003B694B" w:rsidP="00DB2122">
      <w:pPr>
        <w:ind w:firstLine="540"/>
        <w:jc w:val="both"/>
        <w:rPr>
          <w:i/>
        </w:rPr>
      </w:pPr>
      <w:r w:rsidRPr="00173165">
        <w:rPr>
          <w:i/>
        </w:rPr>
        <w:t>В нарушение ч.2 ст.125 ТК РФ работникам не предоставлена неиспользованная часть отпуска в течение 2022 года. Сумма начисленных отпускных за 73 дня составила 67981,1 руб. в том числе:</w:t>
      </w:r>
    </w:p>
    <w:p w:rsidR="003B694B" w:rsidRPr="00173165" w:rsidRDefault="003B694B" w:rsidP="00DB2122">
      <w:pPr>
        <w:ind w:firstLine="540"/>
        <w:jc w:val="both"/>
      </w:pPr>
      <w:proofErr w:type="spellStart"/>
      <w:r w:rsidRPr="00173165">
        <w:t>Блягоз</w:t>
      </w:r>
      <w:proofErr w:type="spellEnd"/>
      <w:r w:rsidRPr="00173165">
        <w:t xml:space="preserve"> Фатима </w:t>
      </w:r>
      <w:proofErr w:type="spellStart"/>
      <w:r w:rsidRPr="00173165">
        <w:t>Казбековна</w:t>
      </w:r>
      <w:proofErr w:type="spellEnd"/>
      <w:r w:rsidRPr="00173165">
        <w:t xml:space="preserve"> – на 43 дня в сумме 36</w:t>
      </w:r>
      <w:r w:rsidR="0082320E" w:rsidRPr="00173165">
        <w:t>,1тыс.</w:t>
      </w:r>
      <w:r w:rsidRPr="00173165">
        <w:t xml:space="preserve"> руб.;</w:t>
      </w:r>
    </w:p>
    <w:p w:rsidR="005726B3" w:rsidRPr="00173165" w:rsidRDefault="003B694B" w:rsidP="00DB2122">
      <w:pPr>
        <w:ind w:firstLine="540"/>
        <w:jc w:val="both"/>
      </w:pPr>
      <w:proofErr w:type="spellStart"/>
      <w:r w:rsidRPr="00173165">
        <w:t>Панеш</w:t>
      </w:r>
      <w:proofErr w:type="spellEnd"/>
      <w:r w:rsidRPr="00173165">
        <w:t xml:space="preserve"> </w:t>
      </w:r>
      <w:proofErr w:type="spellStart"/>
      <w:r w:rsidRPr="00173165">
        <w:t>Марзет</w:t>
      </w:r>
      <w:proofErr w:type="spellEnd"/>
      <w:r w:rsidRPr="00173165">
        <w:t xml:space="preserve"> Руслановна – на 30 дней в сумме 31</w:t>
      </w:r>
      <w:r w:rsidR="0082320E" w:rsidRPr="00173165">
        <w:t>,9</w:t>
      </w:r>
      <w:r w:rsidRPr="00173165">
        <w:t xml:space="preserve"> тыс.</w:t>
      </w:r>
      <w:r w:rsidR="0082320E" w:rsidRPr="00173165">
        <w:t xml:space="preserve"> </w:t>
      </w:r>
      <w:r w:rsidRPr="00173165">
        <w:t>руб.</w:t>
      </w:r>
    </w:p>
    <w:p w:rsidR="00DB2122" w:rsidRPr="00173165" w:rsidRDefault="005726B3" w:rsidP="00DB2122">
      <w:pPr>
        <w:ind w:firstLine="540"/>
        <w:jc w:val="both"/>
      </w:pPr>
      <w:r w:rsidRPr="00173165">
        <w:t>Таким образом, в нарушение ч.2 ст. 125 ТК РФ допущено расходование бюджетных средств без предоставления отгулов в сумме 67981,1 руб.</w:t>
      </w:r>
      <w:r w:rsidR="00CA2811" w:rsidRPr="00173165">
        <w:t>, что является неэффективным использованием бюджетных средств.</w:t>
      </w:r>
      <w:r w:rsidR="00154240" w:rsidRPr="00173165">
        <w:t xml:space="preserve"> </w:t>
      </w:r>
    </w:p>
    <w:p w:rsidR="00DB2122" w:rsidRPr="00173165" w:rsidRDefault="00DB2122" w:rsidP="00DB2122">
      <w:pPr>
        <w:ind w:firstLine="540"/>
        <w:jc w:val="both"/>
        <w:outlineLvl w:val="0"/>
        <w:rPr>
          <w:b/>
          <w:bCs/>
        </w:rPr>
      </w:pPr>
      <w:r w:rsidRPr="00173165">
        <w:rPr>
          <w:b/>
          <w:bCs/>
        </w:rPr>
        <w:t xml:space="preserve">Учет материальных запасов </w:t>
      </w:r>
    </w:p>
    <w:p w:rsidR="00DB2122" w:rsidRPr="00173165" w:rsidRDefault="00DB2122" w:rsidP="00DB2122">
      <w:pPr>
        <w:ind w:firstLine="540"/>
        <w:jc w:val="both"/>
        <w:outlineLvl w:val="0"/>
        <w:rPr>
          <w:bCs/>
        </w:rPr>
      </w:pPr>
      <w:r w:rsidRPr="00173165">
        <w:rPr>
          <w:bCs/>
        </w:rPr>
        <w:t xml:space="preserve">В Управлении образования учет материальных запасов производится в соответствии  с </w:t>
      </w:r>
      <w:hyperlink r:id="rId9" w:history="1">
        <w:r w:rsidRPr="00173165">
          <w:rPr>
            <w:rStyle w:val="a6"/>
            <w:iCs/>
            <w:color w:val="000000"/>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173165">
        <w:rPr>
          <w:b/>
          <w:bCs/>
        </w:rPr>
        <w:t xml:space="preserve"> </w:t>
      </w:r>
      <w:r w:rsidRPr="00173165">
        <w:rPr>
          <w:bCs/>
        </w:rPr>
        <w:t>и</w:t>
      </w:r>
      <w:r w:rsidRPr="00173165">
        <w:rPr>
          <w:b/>
          <w:bCs/>
        </w:rPr>
        <w:t xml:space="preserve"> </w:t>
      </w:r>
      <w:r w:rsidRPr="00173165">
        <w:rPr>
          <w:bCs/>
        </w:rPr>
        <w:t>Приказа Министерства финансов РФ от 16.12.2010г. №174н «Об утверждении Плана счетов бухгалтерского учета бюджетных учреждений и Инструкции по его применению". Списание канцелярских и хозяйственных материалов на нужды учреждения производится Актом списания материальных запасов.</w:t>
      </w:r>
    </w:p>
    <w:p w:rsidR="00DB2122" w:rsidRPr="00173165" w:rsidRDefault="00DB2122" w:rsidP="00DB2122">
      <w:pPr>
        <w:ind w:firstLine="540"/>
        <w:jc w:val="both"/>
        <w:outlineLvl w:val="0"/>
        <w:rPr>
          <w:bCs/>
        </w:rPr>
      </w:pPr>
      <w:r w:rsidRPr="00173165">
        <w:rPr>
          <w:bCs/>
        </w:rPr>
        <w:t xml:space="preserve">Со всеми материально-ответственными лицами заключены договора о полной материальной ответственности за сохранность материальных ценностей. </w:t>
      </w:r>
    </w:p>
    <w:p w:rsidR="00DB2122" w:rsidRPr="00173165" w:rsidRDefault="00DB2122" w:rsidP="00DB2122">
      <w:pPr>
        <w:ind w:firstLine="540"/>
        <w:jc w:val="both"/>
        <w:outlineLvl w:val="0"/>
        <w:rPr>
          <w:bCs/>
          <w:i/>
        </w:rPr>
      </w:pPr>
      <w:r w:rsidRPr="00173165">
        <w:rPr>
          <w:bCs/>
          <w:i/>
        </w:rPr>
        <w:t>Дефектные ведомости и акты выполненных работ по списанию материальных запасов, приложенные к актам по списанию материалов, не соответствуют требованиям ст.9 Закона «О бухгалтерском учете» от 06.12.2011 № 402.</w:t>
      </w:r>
    </w:p>
    <w:p w:rsidR="00820CF1" w:rsidRPr="00173165" w:rsidRDefault="00820CF1" w:rsidP="00820CF1">
      <w:pPr>
        <w:jc w:val="both"/>
      </w:pPr>
    </w:p>
    <w:p w:rsidR="001F6E67" w:rsidRPr="00173165" w:rsidRDefault="001F6E67" w:rsidP="001F6E67">
      <w:pPr>
        <w:ind w:firstLine="540"/>
        <w:jc w:val="center"/>
        <w:outlineLvl w:val="0"/>
        <w:rPr>
          <w:b/>
          <w:bCs/>
        </w:rPr>
      </w:pPr>
      <w:r w:rsidRPr="00173165">
        <w:rPr>
          <w:b/>
          <w:bCs/>
        </w:rPr>
        <w:t>Проверка расходов на предоставление компенсаций работникам образования на оплату жилья и коммунальных услуг</w:t>
      </w:r>
    </w:p>
    <w:p w:rsidR="001F6E67" w:rsidRPr="00173165" w:rsidRDefault="001F6E67" w:rsidP="001F6E67">
      <w:pPr>
        <w:ind w:firstLine="540"/>
        <w:jc w:val="both"/>
        <w:outlineLvl w:val="0"/>
        <w:rPr>
          <w:bCs/>
        </w:rPr>
      </w:pPr>
      <w:r w:rsidRPr="00173165">
        <w:rPr>
          <w:bCs/>
        </w:rPr>
        <w:lastRenderedPageBreak/>
        <w:t>В соответствии</w:t>
      </w:r>
      <w:r w:rsidR="00D02888" w:rsidRPr="00173165">
        <w:rPr>
          <w:bCs/>
        </w:rPr>
        <w:t xml:space="preserve"> со статьей 159 Жилищного кодекса РФ, постановлением Правительства РФ от 14.12.2005 года № 761 «О предоставлении субсидий на оплату жилого помещения и коммунальных услуг»,</w:t>
      </w:r>
      <w:r w:rsidRPr="00173165">
        <w:rPr>
          <w:bCs/>
        </w:rPr>
        <w:t xml:space="preserve">  постановлением Кабинета Министров Республики Адыгея от 18.01.2010 г. № 3 «О Порядке  возмещения расходов, связанных с предоставлением бесплатной жилой  площади с отоплением и освещением педагогическим  работникам образовательных учреждений  в сельской  местности, поселках городского типа», работникам учреждения  производилась  выплата  компенсации</w:t>
      </w:r>
      <w:r w:rsidR="00D02888" w:rsidRPr="00173165">
        <w:rPr>
          <w:bCs/>
        </w:rPr>
        <w:t xml:space="preserve"> на оплату  коммунальных  услуг и постановлением Кабинета Министров Республики Адыгея от 07.06.2022г.</w:t>
      </w:r>
      <w:r w:rsidR="00905E59" w:rsidRPr="00173165">
        <w:rPr>
          <w:bCs/>
        </w:rPr>
        <w:t xml:space="preserve"> </w:t>
      </w:r>
      <w:r w:rsidR="00D02888" w:rsidRPr="00173165">
        <w:rPr>
          <w:bCs/>
        </w:rPr>
        <w:t xml:space="preserve">«О республиканском стандарте стоимости жилищно-коммунальных услуг на 2022 год» </w:t>
      </w:r>
      <w:r w:rsidR="00D07F5E" w:rsidRPr="00173165">
        <w:rPr>
          <w:bCs/>
        </w:rPr>
        <w:t xml:space="preserve">работникам </w:t>
      </w:r>
      <w:r w:rsidR="007E0D8E" w:rsidRPr="00173165">
        <w:rPr>
          <w:bCs/>
        </w:rPr>
        <w:t>учреждений производилась выплата компенсации</w:t>
      </w:r>
      <w:r w:rsidR="00D07F5E" w:rsidRPr="00173165">
        <w:rPr>
          <w:bCs/>
        </w:rPr>
        <w:t xml:space="preserve"> на </w:t>
      </w:r>
      <w:r w:rsidR="007E0D8E" w:rsidRPr="00173165">
        <w:rPr>
          <w:bCs/>
        </w:rPr>
        <w:t>оплату коммунальных услуг</w:t>
      </w:r>
      <w:r w:rsidR="00D07F5E" w:rsidRPr="00173165">
        <w:rPr>
          <w:bCs/>
        </w:rPr>
        <w:t>.</w:t>
      </w:r>
    </w:p>
    <w:p w:rsidR="001F6E67" w:rsidRPr="00173165" w:rsidRDefault="007E0D8E" w:rsidP="001F6E67">
      <w:pPr>
        <w:ind w:firstLine="540"/>
        <w:jc w:val="both"/>
        <w:outlineLvl w:val="0"/>
        <w:rPr>
          <w:bCs/>
        </w:rPr>
      </w:pPr>
      <w:r w:rsidRPr="00173165">
        <w:rPr>
          <w:bCs/>
        </w:rPr>
        <w:t>За 2022</w:t>
      </w:r>
      <w:r w:rsidR="001F6E67" w:rsidRPr="00173165">
        <w:rPr>
          <w:bCs/>
        </w:rPr>
        <w:t xml:space="preserve"> год </w:t>
      </w:r>
      <w:r w:rsidRPr="00173165">
        <w:rPr>
          <w:bCs/>
        </w:rPr>
        <w:t>в учреждениях</w:t>
      </w:r>
      <w:r w:rsidR="001F6E67" w:rsidRPr="00173165">
        <w:rPr>
          <w:bCs/>
        </w:rPr>
        <w:t xml:space="preserve"> образования </w:t>
      </w:r>
      <w:r w:rsidR="00E81B3D" w:rsidRPr="00173165">
        <w:rPr>
          <w:bCs/>
        </w:rPr>
        <w:t>было начислено</w:t>
      </w:r>
      <w:r w:rsidR="001F6E67" w:rsidRPr="00173165">
        <w:rPr>
          <w:bCs/>
        </w:rPr>
        <w:t xml:space="preserve"> и </w:t>
      </w:r>
      <w:r w:rsidR="00E81B3D" w:rsidRPr="00173165">
        <w:rPr>
          <w:bCs/>
        </w:rPr>
        <w:t>выплачено компенсации</w:t>
      </w:r>
      <w:r w:rsidR="001F6E67" w:rsidRPr="00173165">
        <w:rPr>
          <w:bCs/>
        </w:rPr>
        <w:t xml:space="preserve"> по коммунальным платежам </w:t>
      </w:r>
      <w:r w:rsidR="00813F2F" w:rsidRPr="00173165">
        <w:rPr>
          <w:bCs/>
        </w:rPr>
        <w:t>2479,3</w:t>
      </w:r>
      <w:r w:rsidR="001F6E67" w:rsidRPr="00173165">
        <w:rPr>
          <w:bCs/>
        </w:rPr>
        <w:t xml:space="preserve"> тыс.</w:t>
      </w:r>
      <w:r w:rsidR="00CC74EF" w:rsidRPr="00173165">
        <w:rPr>
          <w:bCs/>
        </w:rPr>
        <w:t xml:space="preserve"> </w:t>
      </w:r>
      <w:r w:rsidR="001F6E67" w:rsidRPr="00173165">
        <w:rPr>
          <w:bCs/>
        </w:rPr>
        <w:t xml:space="preserve">руб. </w:t>
      </w:r>
    </w:p>
    <w:p w:rsidR="00E84E01" w:rsidRPr="00173165" w:rsidRDefault="000A03B6" w:rsidP="001F6E67">
      <w:pPr>
        <w:ind w:firstLine="567"/>
        <w:jc w:val="both"/>
        <w:outlineLvl w:val="0"/>
        <w:rPr>
          <w:bCs/>
        </w:rPr>
      </w:pPr>
      <w:r w:rsidRPr="00173165">
        <w:rPr>
          <w:bCs/>
        </w:rPr>
        <w:t>Проверкой правильности</w:t>
      </w:r>
      <w:r w:rsidR="001F6E67" w:rsidRPr="00173165">
        <w:rPr>
          <w:bCs/>
        </w:rPr>
        <w:t xml:space="preserve"> произведенных выплат за 20</w:t>
      </w:r>
      <w:r w:rsidR="00620F6A" w:rsidRPr="00173165">
        <w:rPr>
          <w:bCs/>
        </w:rPr>
        <w:t>22</w:t>
      </w:r>
      <w:r w:rsidR="005C19BF" w:rsidRPr="00173165">
        <w:rPr>
          <w:bCs/>
        </w:rPr>
        <w:t xml:space="preserve"> год установлено, </w:t>
      </w:r>
      <w:r w:rsidR="007E0D8E" w:rsidRPr="00173165">
        <w:rPr>
          <w:bCs/>
        </w:rPr>
        <w:t>что компенсация</w:t>
      </w:r>
      <w:r w:rsidRPr="00173165">
        <w:rPr>
          <w:bCs/>
        </w:rPr>
        <w:t xml:space="preserve"> </w:t>
      </w:r>
      <w:r w:rsidR="005C19BF" w:rsidRPr="00173165">
        <w:rPr>
          <w:bCs/>
        </w:rPr>
        <w:t>на</w:t>
      </w:r>
      <w:r w:rsidRPr="00173165">
        <w:rPr>
          <w:bCs/>
        </w:rPr>
        <w:t xml:space="preserve"> </w:t>
      </w:r>
      <w:r w:rsidR="005C19BF" w:rsidRPr="00173165">
        <w:rPr>
          <w:bCs/>
        </w:rPr>
        <w:t>оплату</w:t>
      </w:r>
      <w:r w:rsidRPr="00173165">
        <w:rPr>
          <w:bCs/>
        </w:rPr>
        <w:t xml:space="preserve"> коммунальных услуг</w:t>
      </w:r>
      <w:r w:rsidR="005C19BF" w:rsidRPr="00173165">
        <w:rPr>
          <w:bCs/>
        </w:rPr>
        <w:t xml:space="preserve"> выдана</w:t>
      </w:r>
      <w:r w:rsidR="00E84E01" w:rsidRPr="00173165">
        <w:rPr>
          <w:bCs/>
        </w:rPr>
        <w:t xml:space="preserve"> </w:t>
      </w:r>
      <w:proofErr w:type="spellStart"/>
      <w:r w:rsidR="00E84E01" w:rsidRPr="00173165">
        <w:rPr>
          <w:bCs/>
        </w:rPr>
        <w:t>Такахо</w:t>
      </w:r>
      <w:proofErr w:type="spellEnd"/>
      <w:r w:rsidR="00E84E01" w:rsidRPr="00173165">
        <w:rPr>
          <w:bCs/>
        </w:rPr>
        <w:t xml:space="preserve"> Мурату </w:t>
      </w:r>
      <w:proofErr w:type="spellStart"/>
      <w:r w:rsidR="00E84E01" w:rsidRPr="00173165">
        <w:rPr>
          <w:bCs/>
        </w:rPr>
        <w:t>Кимовичу</w:t>
      </w:r>
      <w:proofErr w:type="spellEnd"/>
      <w:r w:rsidR="00E84E01" w:rsidRPr="00173165">
        <w:rPr>
          <w:bCs/>
        </w:rPr>
        <w:t xml:space="preserve"> </w:t>
      </w:r>
      <w:r w:rsidR="005C19BF" w:rsidRPr="00173165">
        <w:rPr>
          <w:bCs/>
        </w:rPr>
        <w:t xml:space="preserve">без </w:t>
      </w:r>
      <w:r w:rsidR="007E0D8E" w:rsidRPr="00173165">
        <w:rPr>
          <w:bCs/>
        </w:rPr>
        <w:t>предоставления квитанций</w:t>
      </w:r>
      <w:r w:rsidR="00E84E01" w:rsidRPr="00173165">
        <w:rPr>
          <w:bCs/>
        </w:rPr>
        <w:t xml:space="preserve"> об оплате (за отопление</w:t>
      </w:r>
      <w:r w:rsidR="00686A0E" w:rsidRPr="00173165">
        <w:rPr>
          <w:bCs/>
        </w:rPr>
        <w:t>)</w:t>
      </w:r>
      <w:r w:rsidR="00E84E01" w:rsidRPr="00173165">
        <w:rPr>
          <w:bCs/>
        </w:rPr>
        <w:t xml:space="preserve"> в сумме 5,3 тыс. руб.</w:t>
      </w:r>
    </w:p>
    <w:p w:rsidR="001F6E67" w:rsidRPr="00173165" w:rsidRDefault="001F6E67" w:rsidP="001F6E67">
      <w:pPr>
        <w:ind w:firstLine="567"/>
        <w:jc w:val="both"/>
        <w:outlineLvl w:val="0"/>
        <w:rPr>
          <w:bCs/>
          <w:i/>
        </w:rPr>
      </w:pPr>
      <w:r w:rsidRPr="00173165">
        <w:rPr>
          <w:bCs/>
          <w:i/>
        </w:rPr>
        <w:t xml:space="preserve"> Таким образом, в нарушение подпункта 3 пункта 2 Постановления Кабинета Министров РА от 12.11.2009г. №219 «О некоторых вопросах реализации мер социальной поддержки отдельным категориям граждан в Республике Адыгея», «Порядка расходования бюджетами муниципальных районов (городских округов) субвенций на предоставление компенсаций на оплату жилья и коммунальных услуг отдельным категориям граждан в Республике Адыгея» с нарушением принципов результативности и эффективности, установленных статьями 34, 162 Бюджетного Кодекса РФ произведены выплаты компенсации на оплату жилья и коммунальных услуг </w:t>
      </w:r>
      <w:r w:rsidR="00686A0E" w:rsidRPr="00173165">
        <w:rPr>
          <w:bCs/>
          <w:i/>
        </w:rPr>
        <w:t xml:space="preserve"> без соответствующих документов </w:t>
      </w:r>
      <w:r w:rsidRPr="00173165">
        <w:rPr>
          <w:bCs/>
          <w:i/>
        </w:rPr>
        <w:t xml:space="preserve">в сумме </w:t>
      </w:r>
      <w:r w:rsidR="00686A0E" w:rsidRPr="00173165">
        <w:rPr>
          <w:bCs/>
          <w:i/>
        </w:rPr>
        <w:t>5,3</w:t>
      </w:r>
      <w:r w:rsidRPr="00173165">
        <w:rPr>
          <w:bCs/>
          <w:i/>
        </w:rPr>
        <w:t xml:space="preserve"> тыс. руб.</w:t>
      </w:r>
    </w:p>
    <w:p w:rsidR="005C19BF" w:rsidRPr="00173165" w:rsidRDefault="005C19BF" w:rsidP="001F6E67">
      <w:pPr>
        <w:ind w:firstLine="567"/>
        <w:jc w:val="both"/>
        <w:outlineLvl w:val="0"/>
        <w:rPr>
          <w:bCs/>
          <w:i/>
        </w:rPr>
      </w:pPr>
    </w:p>
    <w:p w:rsidR="001F6E67" w:rsidRPr="00173165" w:rsidRDefault="001F6E67" w:rsidP="001F6E67">
      <w:pPr>
        <w:ind w:firstLine="540"/>
        <w:jc w:val="center"/>
        <w:outlineLvl w:val="0"/>
        <w:rPr>
          <w:b/>
          <w:bCs/>
          <w:i/>
        </w:rPr>
      </w:pPr>
      <w:r w:rsidRPr="00173165">
        <w:rPr>
          <w:b/>
          <w:bCs/>
          <w:i/>
        </w:rPr>
        <w:t>Учет ГСМ</w:t>
      </w:r>
    </w:p>
    <w:p w:rsidR="001F6E67" w:rsidRPr="00173165" w:rsidRDefault="00F4720D" w:rsidP="001F6E67">
      <w:pPr>
        <w:ind w:firstLine="540"/>
        <w:jc w:val="center"/>
        <w:outlineLvl w:val="0"/>
        <w:rPr>
          <w:b/>
          <w:bCs/>
        </w:rPr>
      </w:pPr>
      <w:r w:rsidRPr="00173165">
        <w:t>За Управлением образования числится 4 единицы автотранспорта.</w:t>
      </w:r>
    </w:p>
    <w:p w:rsidR="001F6E67" w:rsidRPr="00173165" w:rsidRDefault="001F6E67" w:rsidP="001F6E67">
      <w:pPr>
        <w:ind w:firstLine="540"/>
        <w:jc w:val="both"/>
        <w:outlineLvl w:val="0"/>
        <w:rPr>
          <w:color w:val="000000"/>
        </w:rPr>
      </w:pPr>
      <w:r w:rsidRPr="00173165">
        <w:t>Учет расхода горюче-смазочных материалов ведется по путевым листам.</w:t>
      </w:r>
      <w:r w:rsidRPr="00173165">
        <w:rPr>
          <w:bCs/>
        </w:rPr>
        <w:t xml:space="preserve"> </w:t>
      </w:r>
      <w:r w:rsidRPr="00173165">
        <w:rPr>
          <w:color w:val="000000"/>
        </w:rPr>
        <w:t>Списание горюче-смазочных материалов на обслуживание автомобилей производится исходя из фактического пробега автомобилей и в соответствии с нормами списания, утвержденными Министерством транспорта РФ от 14.03.2008г. №АМ-23-р «Нормы расхода топлива и смазочных материалов на автомобильном транспорте». В проверяемом периоде Журнал регистрации путевых листов велся, путевые листы регистрировались в журнале.</w:t>
      </w:r>
    </w:p>
    <w:p w:rsidR="001F6E67" w:rsidRPr="00173165" w:rsidRDefault="001F6E67" w:rsidP="001F6E67">
      <w:pPr>
        <w:ind w:firstLine="540"/>
        <w:jc w:val="both"/>
        <w:outlineLvl w:val="0"/>
        <w:rPr>
          <w:color w:val="000000"/>
        </w:rPr>
      </w:pPr>
      <w:r w:rsidRPr="00173165">
        <w:rPr>
          <w:color w:val="000000"/>
        </w:rPr>
        <w:t xml:space="preserve">Приказом руководителя МБОУ «СОШ №5» от 29.12.2021г.  №285 «Об установлении лимита расходования ГСМ на 2022 год» установлен ежемесячный лимит расходования ГСМ по каждому автомобилю. В ходе проверки установлено, что лимит ГСМ на 2022 год установлен в количестве 4800 литров. Приказами № 201 от 13.01.2022г. и № 162 от 29.08.2022г. СБОУ №4 им. А.И. </w:t>
      </w:r>
      <w:proofErr w:type="spellStart"/>
      <w:r w:rsidRPr="00173165">
        <w:rPr>
          <w:color w:val="000000"/>
        </w:rPr>
        <w:t>Хуаде</w:t>
      </w:r>
      <w:proofErr w:type="spellEnd"/>
      <w:r w:rsidRPr="00173165">
        <w:rPr>
          <w:color w:val="000000"/>
        </w:rPr>
        <w:t xml:space="preserve"> а. </w:t>
      </w:r>
      <w:proofErr w:type="spellStart"/>
      <w:r w:rsidRPr="00173165">
        <w:rPr>
          <w:color w:val="000000"/>
        </w:rPr>
        <w:t>Гатлукай</w:t>
      </w:r>
      <w:proofErr w:type="spellEnd"/>
      <w:r w:rsidRPr="00173165">
        <w:rPr>
          <w:color w:val="000000"/>
        </w:rPr>
        <w:t xml:space="preserve"> и ДЮСШ установлены нормы расхода топлива для автомобилей. </w:t>
      </w:r>
    </w:p>
    <w:p w:rsidR="001F6E67" w:rsidRPr="00173165" w:rsidRDefault="001F6E67" w:rsidP="001F6E67">
      <w:pPr>
        <w:ind w:firstLine="540"/>
        <w:jc w:val="both"/>
        <w:outlineLvl w:val="0"/>
      </w:pPr>
      <w:r w:rsidRPr="00173165">
        <w:rPr>
          <w:bCs/>
        </w:rPr>
        <w:t xml:space="preserve">В </w:t>
      </w:r>
      <w:r w:rsidR="00813F2F" w:rsidRPr="00173165">
        <w:rPr>
          <w:bCs/>
        </w:rPr>
        <w:t xml:space="preserve">Управлении образования </w:t>
      </w:r>
      <w:r w:rsidRPr="00173165">
        <w:t>приобретение</w:t>
      </w:r>
      <w:r w:rsidRPr="00173165">
        <w:rPr>
          <w:bCs/>
        </w:rPr>
        <w:t xml:space="preserve"> ГСМ производилось безналичным путем. </w:t>
      </w:r>
      <w:r w:rsidRPr="00173165">
        <w:t>Путевые листы работы автотранспорта оформлены в соответствии с правилами, утвержденными приказом Минтранса РФ от 18.09.2008г. №152 «Об утверждении обязательных реквизитов и порядка заполнения путевых листов». Учет расхода бензина осуществлялся по нормам, установленным распоряжением Минтранса транспорта РФ от 14.03.2008г. №АМ-23-р «О введении в действие методических рекомендаций «Нормы расхода топлив и смазочных материалов, на автомобильном транспорте» с учетом пробега, определяемого автомобилем за отчетный период по путевому листу.</w:t>
      </w:r>
    </w:p>
    <w:p w:rsidR="00B35D64" w:rsidRPr="00173165" w:rsidRDefault="00B35D64" w:rsidP="00B35D64">
      <w:pPr>
        <w:ind w:firstLine="540"/>
        <w:jc w:val="both"/>
        <w:outlineLvl w:val="0"/>
        <w:rPr>
          <w:bCs/>
        </w:rPr>
      </w:pPr>
      <w:r w:rsidRPr="00173165">
        <w:rPr>
          <w:bCs/>
        </w:rPr>
        <w:t xml:space="preserve">В Управлении образования администрации числится 4 автотранспортных средств, которые обслуживаются водителями, находящимися в штате учреждения. </w:t>
      </w:r>
      <w:r w:rsidRPr="00173165">
        <w:rPr>
          <w:bCs/>
          <w:i/>
        </w:rPr>
        <w:t xml:space="preserve">В нарушение Приказа Министерства здравоохранения от 15.06.2015г. №344н «О проведении </w:t>
      </w:r>
      <w:r w:rsidRPr="00173165">
        <w:rPr>
          <w:bCs/>
          <w:i/>
        </w:rPr>
        <w:lastRenderedPageBreak/>
        <w:t xml:space="preserve">обязательного освидетельствования водителей транспортных средств», водитель МБОУ СОШ №4 а. </w:t>
      </w:r>
      <w:proofErr w:type="spellStart"/>
      <w:proofErr w:type="gramStart"/>
      <w:r w:rsidRPr="00173165">
        <w:rPr>
          <w:bCs/>
          <w:i/>
        </w:rPr>
        <w:t>Гатлукай</w:t>
      </w:r>
      <w:proofErr w:type="spellEnd"/>
      <w:r w:rsidRPr="00173165">
        <w:rPr>
          <w:bCs/>
          <w:i/>
        </w:rPr>
        <w:t xml:space="preserve">  в</w:t>
      </w:r>
      <w:proofErr w:type="gramEnd"/>
      <w:r w:rsidRPr="00173165">
        <w:rPr>
          <w:bCs/>
          <w:i/>
        </w:rPr>
        <w:t xml:space="preserve"> 2022 году медицинское освидетельствование не проходил.</w:t>
      </w:r>
      <w:r w:rsidRPr="00173165">
        <w:rPr>
          <w:bCs/>
        </w:rPr>
        <w:t xml:space="preserve">    </w:t>
      </w:r>
    </w:p>
    <w:p w:rsidR="00B35D64" w:rsidRPr="00173165" w:rsidRDefault="00B35D64" w:rsidP="001F6E67">
      <w:pPr>
        <w:ind w:firstLine="540"/>
        <w:jc w:val="both"/>
        <w:outlineLvl w:val="0"/>
        <w:rPr>
          <w:color w:val="FF0000"/>
        </w:rPr>
      </w:pPr>
    </w:p>
    <w:p w:rsidR="00DB2122" w:rsidRPr="00173165" w:rsidRDefault="00DB2122" w:rsidP="00DB2122">
      <w:pPr>
        <w:ind w:firstLine="540"/>
        <w:jc w:val="both"/>
        <w:outlineLvl w:val="0"/>
        <w:rPr>
          <w:color w:val="000000"/>
        </w:rPr>
      </w:pPr>
      <w:r w:rsidRPr="00173165">
        <w:rPr>
          <w:b/>
          <w:color w:val="000000"/>
        </w:rPr>
        <w:t xml:space="preserve">По подразделу 0701 «Дошкольное образование» </w:t>
      </w:r>
      <w:r w:rsidRPr="00173165">
        <w:rPr>
          <w:color w:val="000000"/>
        </w:rPr>
        <w:t>на финансирование деятельности пяти детских садов в 20</w:t>
      </w:r>
      <w:r w:rsidR="003413CB" w:rsidRPr="00173165">
        <w:rPr>
          <w:color w:val="000000"/>
        </w:rPr>
        <w:t>2</w:t>
      </w:r>
      <w:r w:rsidR="003F4C41" w:rsidRPr="00173165">
        <w:rPr>
          <w:color w:val="000000"/>
        </w:rPr>
        <w:t>2</w:t>
      </w:r>
      <w:r w:rsidRPr="00173165">
        <w:rPr>
          <w:color w:val="000000"/>
        </w:rPr>
        <w:t xml:space="preserve"> году утверждены плановые показатели в сумме </w:t>
      </w:r>
      <w:r w:rsidR="00B72519" w:rsidRPr="00173165">
        <w:rPr>
          <w:color w:val="000000"/>
        </w:rPr>
        <w:t xml:space="preserve">106657,8 </w:t>
      </w:r>
      <w:r w:rsidRPr="00173165">
        <w:rPr>
          <w:color w:val="000000"/>
        </w:rPr>
        <w:t xml:space="preserve">тыс. руб., </w:t>
      </w:r>
      <w:r w:rsidR="003F4C41" w:rsidRPr="00173165">
        <w:rPr>
          <w:color w:val="000000"/>
        </w:rPr>
        <w:t>уточненный</w:t>
      </w:r>
      <w:r w:rsidR="003413CB" w:rsidRPr="00173165">
        <w:rPr>
          <w:color w:val="000000"/>
        </w:rPr>
        <w:t xml:space="preserve"> план составил </w:t>
      </w:r>
      <w:r w:rsidR="003F4C41" w:rsidRPr="00173165">
        <w:rPr>
          <w:color w:val="000000"/>
        </w:rPr>
        <w:t>108346,7</w:t>
      </w:r>
      <w:r w:rsidR="003413CB" w:rsidRPr="00173165">
        <w:rPr>
          <w:color w:val="000000"/>
        </w:rPr>
        <w:t xml:space="preserve"> тыс. руб., </w:t>
      </w:r>
      <w:r w:rsidRPr="00173165">
        <w:rPr>
          <w:color w:val="000000"/>
        </w:rPr>
        <w:t xml:space="preserve">исполнение составило </w:t>
      </w:r>
      <w:r w:rsidR="003F4C41" w:rsidRPr="00173165">
        <w:rPr>
          <w:color w:val="000000"/>
        </w:rPr>
        <w:t>108046,9</w:t>
      </w:r>
      <w:r w:rsidRPr="00173165">
        <w:rPr>
          <w:color w:val="000000"/>
        </w:rPr>
        <w:t xml:space="preserve"> тыс. руб.</w:t>
      </w:r>
      <w:r w:rsidR="003413CB" w:rsidRPr="00173165">
        <w:rPr>
          <w:color w:val="000000"/>
        </w:rPr>
        <w:t xml:space="preserve"> или 99,</w:t>
      </w:r>
      <w:r w:rsidR="00655CF9" w:rsidRPr="00173165">
        <w:rPr>
          <w:color w:val="000000"/>
        </w:rPr>
        <w:t>7</w:t>
      </w:r>
      <w:r w:rsidR="003413CB" w:rsidRPr="00173165">
        <w:rPr>
          <w:color w:val="000000"/>
        </w:rPr>
        <w:t xml:space="preserve">%. Не использованные лимиты составили </w:t>
      </w:r>
      <w:r w:rsidR="00655CF9" w:rsidRPr="00173165">
        <w:rPr>
          <w:color w:val="000000"/>
        </w:rPr>
        <w:t>299,8</w:t>
      </w:r>
      <w:r w:rsidR="003413CB" w:rsidRPr="00173165">
        <w:rPr>
          <w:color w:val="000000"/>
        </w:rPr>
        <w:t xml:space="preserve"> тыс. руб.</w:t>
      </w:r>
    </w:p>
    <w:p w:rsidR="00DB2122" w:rsidRPr="00173165" w:rsidRDefault="00DB2122" w:rsidP="00DB2122">
      <w:pPr>
        <w:ind w:firstLine="540"/>
        <w:jc w:val="both"/>
        <w:outlineLvl w:val="0"/>
        <w:rPr>
          <w:color w:val="000000"/>
        </w:rPr>
      </w:pPr>
      <w:r w:rsidRPr="00173165">
        <w:rPr>
          <w:color w:val="000000"/>
        </w:rPr>
        <w:t>Финансирование деятельности детских садов осуществлялось на основании Соглашения о порядке и условиях предоставления субсидий на финансовое обеспечение выполнения муниципального задания, субсидий на иные цели в соответствии с планами ФХД.</w:t>
      </w:r>
    </w:p>
    <w:p w:rsidR="00DB2122" w:rsidRPr="00173165" w:rsidRDefault="00DB2122" w:rsidP="00DB2122">
      <w:pPr>
        <w:ind w:firstLine="540"/>
        <w:jc w:val="both"/>
        <w:outlineLvl w:val="0"/>
        <w:rPr>
          <w:color w:val="000000"/>
        </w:rPr>
      </w:pPr>
      <w:r w:rsidRPr="00173165">
        <w:rPr>
          <w:color w:val="000000"/>
        </w:rPr>
        <w:t>В соответствии со статьей 69.2 Бюджетного кодекса РФ показатели муниципального задания используются для определения объема субсидий на выполнение государственного (муниципального) задания бюджетными или автономными учреждениями.</w:t>
      </w:r>
    </w:p>
    <w:p w:rsidR="00DB2122" w:rsidRPr="00173165" w:rsidRDefault="00DB2122" w:rsidP="00DB2122">
      <w:pPr>
        <w:ind w:firstLine="540"/>
        <w:jc w:val="both"/>
        <w:outlineLvl w:val="0"/>
        <w:rPr>
          <w:color w:val="000000"/>
        </w:rPr>
      </w:pPr>
      <w:r w:rsidRPr="00173165">
        <w:rPr>
          <w:color w:val="000000"/>
        </w:rPr>
        <w:t>Муниципальные задания детским садам утверждены приказом По Управлению образования от 11.01.20</w:t>
      </w:r>
      <w:r w:rsidR="003413CB" w:rsidRPr="00173165">
        <w:rPr>
          <w:color w:val="000000"/>
        </w:rPr>
        <w:t>2</w:t>
      </w:r>
      <w:r w:rsidR="00655CF9" w:rsidRPr="00173165">
        <w:rPr>
          <w:color w:val="000000"/>
        </w:rPr>
        <w:t>2</w:t>
      </w:r>
      <w:r w:rsidRPr="00173165">
        <w:rPr>
          <w:color w:val="000000"/>
        </w:rPr>
        <w:t>г. на получение муниципальной услуги по дошкольному образованию, воспитанию и содержанию ребенка в дошкольных образовательных учреждениях муниципального образования детьми в возрасте от 2 до 7 лет. Каждому детскому саду в муниципальном задании утверждены качественные показатели, характеризирующие услугу, порядок ее оказания, приведена форма отчета об исполнении объемных и качественных показателей оказанной услуги за 20</w:t>
      </w:r>
      <w:r w:rsidR="003413CB" w:rsidRPr="00173165">
        <w:rPr>
          <w:color w:val="000000"/>
        </w:rPr>
        <w:t>2</w:t>
      </w:r>
      <w:r w:rsidR="00655CF9" w:rsidRPr="00173165">
        <w:rPr>
          <w:color w:val="000000"/>
        </w:rPr>
        <w:t>2</w:t>
      </w:r>
      <w:r w:rsidRPr="00173165">
        <w:rPr>
          <w:color w:val="000000"/>
        </w:rPr>
        <w:t xml:space="preserve"> год за период с 11.01.20</w:t>
      </w:r>
      <w:r w:rsidR="003413CB" w:rsidRPr="00173165">
        <w:rPr>
          <w:color w:val="000000"/>
        </w:rPr>
        <w:t>2</w:t>
      </w:r>
      <w:r w:rsidR="00655CF9" w:rsidRPr="00173165">
        <w:rPr>
          <w:color w:val="000000"/>
        </w:rPr>
        <w:t>2</w:t>
      </w:r>
      <w:r w:rsidRPr="00173165">
        <w:rPr>
          <w:color w:val="000000"/>
        </w:rPr>
        <w:t>г. по 31.12.20</w:t>
      </w:r>
      <w:r w:rsidR="00655CF9" w:rsidRPr="00173165">
        <w:rPr>
          <w:color w:val="000000"/>
        </w:rPr>
        <w:t>22</w:t>
      </w:r>
      <w:r w:rsidRPr="00173165">
        <w:rPr>
          <w:color w:val="000000"/>
        </w:rPr>
        <w:t>г. включительно в объемные и качественные показатели муниципальных заданий, утвержденных детским садам 11.01.20</w:t>
      </w:r>
      <w:r w:rsidR="003413CB" w:rsidRPr="00173165">
        <w:rPr>
          <w:color w:val="000000"/>
        </w:rPr>
        <w:t>2</w:t>
      </w:r>
      <w:r w:rsidR="00655CF9" w:rsidRPr="00173165">
        <w:rPr>
          <w:color w:val="000000"/>
        </w:rPr>
        <w:t>2</w:t>
      </w:r>
      <w:r w:rsidRPr="00173165">
        <w:rPr>
          <w:color w:val="000000"/>
        </w:rPr>
        <w:t>г.  изменения вносились.</w:t>
      </w:r>
    </w:p>
    <w:p w:rsidR="00DB2122" w:rsidRPr="00173165" w:rsidRDefault="00DB2122" w:rsidP="00DB2122">
      <w:pPr>
        <w:ind w:firstLine="540"/>
        <w:jc w:val="both"/>
        <w:outlineLvl w:val="0"/>
        <w:rPr>
          <w:color w:val="000000"/>
        </w:rPr>
      </w:pPr>
      <w:r w:rsidRPr="00173165">
        <w:rPr>
          <w:color w:val="000000"/>
        </w:rPr>
        <w:t>За 20</w:t>
      </w:r>
      <w:r w:rsidR="003413CB" w:rsidRPr="00173165">
        <w:rPr>
          <w:color w:val="000000"/>
        </w:rPr>
        <w:t>2</w:t>
      </w:r>
      <w:r w:rsidR="00655CF9" w:rsidRPr="00173165">
        <w:rPr>
          <w:color w:val="000000"/>
        </w:rPr>
        <w:t>2</w:t>
      </w:r>
      <w:r w:rsidRPr="00173165">
        <w:rPr>
          <w:color w:val="000000"/>
        </w:rPr>
        <w:t xml:space="preserve"> год по данным отчетов об исполнении муниципального задания за 20</w:t>
      </w:r>
      <w:r w:rsidR="003413CB" w:rsidRPr="00173165">
        <w:rPr>
          <w:color w:val="000000"/>
        </w:rPr>
        <w:t>2</w:t>
      </w:r>
      <w:r w:rsidR="00655CF9" w:rsidRPr="00173165">
        <w:rPr>
          <w:color w:val="000000"/>
        </w:rPr>
        <w:t>2</w:t>
      </w:r>
      <w:r w:rsidRPr="00173165">
        <w:rPr>
          <w:color w:val="000000"/>
        </w:rPr>
        <w:t xml:space="preserve"> год муниципальную услугу «Дошкольное образование, воспитание и содержание ребенка» в дошкольном образовательном учреждении» получили </w:t>
      </w:r>
      <w:r w:rsidR="00CC74EF" w:rsidRPr="00173165">
        <w:rPr>
          <w:color w:val="000000"/>
        </w:rPr>
        <w:t xml:space="preserve">956 </w:t>
      </w:r>
      <w:r w:rsidRPr="00173165">
        <w:rPr>
          <w:color w:val="000000"/>
        </w:rPr>
        <w:t>детей. В целом по Управлению образования объем муниципальной услуги выполнен на 100,0 процентов.</w:t>
      </w:r>
    </w:p>
    <w:p w:rsidR="00DB2122" w:rsidRPr="00173165" w:rsidRDefault="00DB2122" w:rsidP="00DB2122">
      <w:pPr>
        <w:ind w:firstLine="540"/>
        <w:jc w:val="both"/>
        <w:outlineLvl w:val="0"/>
        <w:rPr>
          <w:color w:val="000000"/>
        </w:rPr>
      </w:pPr>
      <w:r w:rsidRPr="00173165">
        <w:rPr>
          <w:color w:val="000000"/>
        </w:rPr>
        <w:t xml:space="preserve">Управлением образования с детскими садами заключены Соглашения на предоставление субсидии на финансовое обеспечение выполнения муниципального задания по предоставлению общедоступного бесплатного дошкольного образования. </w:t>
      </w:r>
    </w:p>
    <w:p w:rsidR="003413CB" w:rsidRPr="00173165" w:rsidRDefault="00DB2122" w:rsidP="003413CB">
      <w:pPr>
        <w:ind w:firstLine="540"/>
        <w:jc w:val="both"/>
        <w:outlineLvl w:val="0"/>
        <w:rPr>
          <w:color w:val="000000"/>
        </w:rPr>
      </w:pPr>
      <w:r w:rsidRPr="00173165">
        <w:rPr>
          <w:b/>
          <w:color w:val="000000"/>
        </w:rPr>
        <w:t>По подразделу 0702 «Общее образование»</w:t>
      </w:r>
      <w:r w:rsidRPr="00173165">
        <w:rPr>
          <w:color w:val="000000"/>
        </w:rPr>
        <w:t xml:space="preserve"> бюджетные ассигнования утверждены на 20</w:t>
      </w:r>
      <w:r w:rsidR="003413CB" w:rsidRPr="00173165">
        <w:rPr>
          <w:color w:val="000000"/>
        </w:rPr>
        <w:t>2</w:t>
      </w:r>
      <w:r w:rsidR="00655CF9" w:rsidRPr="00173165">
        <w:rPr>
          <w:color w:val="000000"/>
        </w:rPr>
        <w:t>2</w:t>
      </w:r>
      <w:r w:rsidRPr="00173165">
        <w:rPr>
          <w:color w:val="000000"/>
        </w:rPr>
        <w:t xml:space="preserve"> год в </w:t>
      </w:r>
      <w:r w:rsidRPr="00173165">
        <w:t xml:space="preserve">сумме </w:t>
      </w:r>
      <w:r w:rsidR="00F5100B" w:rsidRPr="00173165">
        <w:t>127694,3</w:t>
      </w:r>
      <w:r w:rsidRPr="00173165">
        <w:rPr>
          <w:color w:val="000000"/>
        </w:rPr>
        <w:t xml:space="preserve"> тыс. руб., </w:t>
      </w:r>
      <w:r w:rsidR="00655CF9" w:rsidRPr="00173165">
        <w:rPr>
          <w:color w:val="000000"/>
        </w:rPr>
        <w:t>уточненный</w:t>
      </w:r>
      <w:r w:rsidR="003413CB" w:rsidRPr="00173165">
        <w:rPr>
          <w:color w:val="000000"/>
        </w:rPr>
        <w:t xml:space="preserve"> план составил </w:t>
      </w:r>
      <w:r w:rsidR="00655CF9" w:rsidRPr="00173165">
        <w:rPr>
          <w:color w:val="000000"/>
        </w:rPr>
        <w:t>136943,4</w:t>
      </w:r>
      <w:r w:rsidR="003413CB" w:rsidRPr="00173165">
        <w:rPr>
          <w:color w:val="000000"/>
        </w:rPr>
        <w:t xml:space="preserve"> тыс. руб., исполнение составило </w:t>
      </w:r>
      <w:r w:rsidR="00655CF9" w:rsidRPr="00173165">
        <w:rPr>
          <w:color w:val="000000"/>
        </w:rPr>
        <w:t>136629,2</w:t>
      </w:r>
      <w:r w:rsidR="003413CB" w:rsidRPr="00173165">
        <w:rPr>
          <w:color w:val="000000"/>
        </w:rPr>
        <w:t xml:space="preserve"> тыс. руб. или 9</w:t>
      </w:r>
      <w:r w:rsidR="00655CF9" w:rsidRPr="00173165">
        <w:rPr>
          <w:color w:val="000000"/>
        </w:rPr>
        <w:t>9,8</w:t>
      </w:r>
      <w:r w:rsidR="003413CB" w:rsidRPr="00173165">
        <w:rPr>
          <w:color w:val="000000"/>
        </w:rPr>
        <w:t xml:space="preserve">%. Не использованные лимиты составили </w:t>
      </w:r>
      <w:r w:rsidR="00655CF9" w:rsidRPr="00173165">
        <w:rPr>
          <w:color w:val="000000"/>
        </w:rPr>
        <w:t>68468,86</w:t>
      </w:r>
      <w:r w:rsidR="003413CB" w:rsidRPr="00173165">
        <w:rPr>
          <w:color w:val="000000"/>
        </w:rPr>
        <w:t xml:space="preserve"> тыс. руб.</w:t>
      </w:r>
    </w:p>
    <w:p w:rsidR="00DB2122" w:rsidRPr="00173165" w:rsidRDefault="00DB2122" w:rsidP="00DB2122">
      <w:pPr>
        <w:ind w:firstLine="540"/>
        <w:jc w:val="both"/>
        <w:outlineLvl w:val="0"/>
        <w:rPr>
          <w:color w:val="000000"/>
        </w:rPr>
      </w:pPr>
      <w:r w:rsidRPr="00173165">
        <w:rPr>
          <w:color w:val="000000"/>
        </w:rPr>
        <w:t xml:space="preserve">В рамках подраздела по МП «Развитие образования в МО «Город Адыгейск», занимающей в расходах подраздела </w:t>
      </w:r>
      <w:r w:rsidR="00BF33B3" w:rsidRPr="00173165">
        <w:rPr>
          <w:color w:val="000000"/>
        </w:rPr>
        <w:t>66</w:t>
      </w:r>
      <w:r w:rsidRPr="00173165">
        <w:rPr>
          <w:color w:val="000000"/>
        </w:rPr>
        <w:t xml:space="preserve">,8 процента, осуществлялось финансирование деятельности пяти Школ, Центра «Юта» и </w:t>
      </w:r>
      <w:r w:rsidR="002607B7" w:rsidRPr="00173165">
        <w:t>МБОУДО</w:t>
      </w:r>
      <w:r w:rsidR="002607B7" w:rsidRPr="00173165">
        <w:rPr>
          <w:color w:val="000000"/>
        </w:rPr>
        <w:t xml:space="preserve"> </w:t>
      </w:r>
      <w:r w:rsidRPr="00173165">
        <w:rPr>
          <w:color w:val="000000"/>
        </w:rPr>
        <w:t>ДЮСШ.</w:t>
      </w:r>
    </w:p>
    <w:p w:rsidR="00DB2122" w:rsidRPr="00173165" w:rsidRDefault="00DB2122" w:rsidP="00DB2122">
      <w:pPr>
        <w:ind w:firstLine="540"/>
        <w:jc w:val="both"/>
        <w:outlineLvl w:val="0"/>
        <w:rPr>
          <w:color w:val="000000"/>
        </w:rPr>
      </w:pPr>
      <w:r w:rsidRPr="00173165">
        <w:rPr>
          <w:color w:val="000000"/>
        </w:rPr>
        <w:t>Финансирование деятельности Школ, Учреждений дополнительного образования осуществлялось в проверяемом периоде: на основании Соглашения о порядке и условиях предоставления субсидий на финансовое обеспечение выполнения муниципального задания, субсидий на иные цели в соответствии с утвержденными Планами ФХД.</w:t>
      </w:r>
    </w:p>
    <w:p w:rsidR="00DB2122" w:rsidRPr="00173165" w:rsidRDefault="00DB2122" w:rsidP="00DB2122">
      <w:pPr>
        <w:ind w:firstLine="540"/>
        <w:jc w:val="both"/>
        <w:outlineLvl w:val="0"/>
      </w:pPr>
      <w:r w:rsidRPr="00173165">
        <w:t>В соответствии со статьей 69.2 Бюджетного кодекса Российской Федерации показатели муниципального задания используются для определения объема субсидий на выполнение государственного (муниципального) задания бюджетным или автономным учреждением.</w:t>
      </w:r>
    </w:p>
    <w:p w:rsidR="00DB2122" w:rsidRPr="00173165" w:rsidRDefault="00DB2122" w:rsidP="00DB2122">
      <w:pPr>
        <w:ind w:firstLine="540"/>
        <w:jc w:val="both"/>
        <w:outlineLvl w:val="0"/>
      </w:pPr>
      <w:r w:rsidRPr="00173165">
        <w:t>Каждому учреждению в муниципальном задании утверждены качественные показатели, характеризующие услугу, порядок ее оказания, приведена форма отчета об исполнении объемных и качественных показателей оказанной услуги за 20</w:t>
      </w:r>
      <w:r w:rsidR="00BF33B3" w:rsidRPr="00173165">
        <w:t>2</w:t>
      </w:r>
      <w:r w:rsidR="00AC6574" w:rsidRPr="00173165">
        <w:t>2</w:t>
      </w:r>
      <w:r w:rsidRPr="00173165">
        <w:t xml:space="preserve"> год. За период с </w:t>
      </w:r>
      <w:r w:rsidR="00DD1177" w:rsidRPr="00173165">
        <w:t>10</w:t>
      </w:r>
      <w:r w:rsidRPr="00173165">
        <w:t>.01.20</w:t>
      </w:r>
      <w:r w:rsidR="00BF33B3" w:rsidRPr="00173165">
        <w:t>2</w:t>
      </w:r>
      <w:r w:rsidR="00DD1177" w:rsidRPr="00173165">
        <w:t>2</w:t>
      </w:r>
      <w:r w:rsidRPr="00173165">
        <w:t xml:space="preserve"> по 30.12.20</w:t>
      </w:r>
      <w:r w:rsidR="00BF33B3" w:rsidRPr="00173165">
        <w:t>2</w:t>
      </w:r>
      <w:r w:rsidR="00DD1177" w:rsidRPr="00173165">
        <w:t>2</w:t>
      </w:r>
      <w:r w:rsidRPr="00173165">
        <w:t xml:space="preserve"> года включительно в объемные и качественные показатели муниципальных заданий, утвержденных Школам и Учреждениям дополнительного образования </w:t>
      </w:r>
      <w:r w:rsidR="00AC6574" w:rsidRPr="00173165">
        <w:t>10</w:t>
      </w:r>
      <w:r w:rsidRPr="00173165">
        <w:t>.01.20</w:t>
      </w:r>
      <w:r w:rsidR="00BF33B3" w:rsidRPr="00173165">
        <w:t>2</w:t>
      </w:r>
      <w:r w:rsidR="00AC6574" w:rsidRPr="00173165">
        <w:t>2</w:t>
      </w:r>
      <w:r w:rsidRPr="00173165">
        <w:t xml:space="preserve"> года, изменения вносились.</w:t>
      </w:r>
    </w:p>
    <w:p w:rsidR="00DB2122" w:rsidRPr="00173165" w:rsidRDefault="00DB2122" w:rsidP="00DB2122">
      <w:pPr>
        <w:ind w:firstLine="540"/>
        <w:jc w:val="both"/>
        <w:outlineLvl w:val="0"/>
      </w:pPr>
      <w:r w:rsidRPr="00173165">
        <w:lastRenderedPageBreak/>
        <w:t>Объем субсидии на финансовое обеспечение выполнения муниципального задания Учреждений дополнительного образования формировался за счет средств местного бюджета.</w:t>
      </w:r>
    </w:p>
    <w:p w:rsidR="00DB2122" w:rsidRPr="00173165" w:rsidRDefault="00DB2122" w:rsidP="00DB2122">
      <w:pPr>
        <w:ind w:firstLine="540"/>
        <w:jc w:val="both"/>
        <w:outlineLvl w:val="0"/>
      </w:pPr>
      <w:r w:rsidRPr="00173165">
        <w:t>Первоначально Решением о бюджете на 20</w:t>
      </w:r>
      <w:r w:rsidR="00BF33B3" w:rsidRPr="00173165">
        <w:t>2</w:t>
      </w:r>
      <w:r w:rsidR="00AC6574" w:rsidRPr="00173165">
        <w:t>2</w:t>
      </w:r>
      <w:r w:rsidRPr="00173165">
        <w:t xml:space="preserve"> год объем субвенции для Школ на территории МО «Город Адыгейск» утвержден в сумме   </w:t>
      </w:r>
      <w:r w:rsidR="00D74CBD" w:rsidRPr="00173165">
        <w:t>70340,0</w:t>
      </w:r>
      <w:r w:rsidRPr="00173165">
        <w:t xml:space="preserve">   тыс. руб. и распределен на финансирование бюджетных Школ.</w:t>
      </w:r>
      <w:r w:rsidR="00AB3B67" w:rsidRPr="00173165">
        <w:t xml:space="preserve"> Фактическое исполнение составило – 72882,7 тыс. руб.</w:t>
      </w:r>
    </w:p>
    <w:p w:rsidR="00DB2122" w:rsidRPr="00173165" w:rsidRDefault="00DB2122" w:rsidP="00DB2122">
      <w:pPr>
        <w:ind w:firstLine="540"/>
        <w:jc w:val="both"/>
        <w:outlineLvl w:val="0"/>
      </w:pPr>
      <w:r w:rsidRPr="00173165">
        <w:t>В течение года в Соглашения на финансовое обеспечение муниципального задания вносились изменения, на которые оформлялись дополнительные соглашения. Причина внесения изменений в объем субсидии на финансовое обеспечение выполнения муниципального задания в дополнительном соглашении прописана.</w:t>
      </w:r>
    </w:p>
    <w:p w:rsidR="00DB2122" w:rsidRPr="00173165" w:rsidRDefault="00DB2122" w:rsidP="00DB2122">
      <w:pPr>
        <w:ind w:firstLine="540"/>
        <w:jc w:val="both"/>
        <w:outlineLvl w:val="0"/>
      </w:pPr>
      <w:r w:rsidRPr="00173165">
        <w:t>В соответствии с положениями пункта 8 Порядка формирования и финансового обеспечения муниципального задания № 23 изменение объема субсидии, предоставленной из бюджета муниципального образования «Город Адыгейск»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723B93" w:rsidRPr="00173165" w:rsidRDefault="00723B93" w:rsidP="00723B93">
      <w:pPr>
        <w:ind w:firstLine="540"/>
        <w:jc w:val="both"/>
        <w:outlineLvl w:val="0"/>
        <w:rPr>
          <w:color w:val="000000"/>
        </w:rPr>
      </w:pPr>
      <w:r w:rsidRPr="00173165">
        <w:rPr>
          <w:b/>
          <w:color w:val="000000"/>
        </w:rPr>
        <w:t>По подразделу 0703 «Дополнительное образование детей»</w:t>
      </w:r>
      <w:r w:rsidRPr="00173165">
        <w:rPr>
          <w:color w:val="000000"/>
        </w:rPr>
        <w:t xml:space="preserve"> бюджетные ассигнования утверждены на 202</w:t>
      </w:r>
      <w:r w:rsidR="00AC6574" w:rsidRPr="00173165">
        <w:rPr>
          <w:color w:val="000000"/>
        </w:rPr>
        <w:t>2</w:t>
      </w:r>
      <w:r w:rsidRPr="00173165">
        <w:rPr>
          <w:color w:val="000000"/>
        </w:rPr>
        <w:t xml:space="preserve"> год в </w:t>
      </w:r>
      <w:r w:rsidR="00BF4FB4" w:rsidRPr="00173165">
        <w:t xml:space="preserve">сумме </w:t>
      </w:r>
      <w:r w:rsidR="00BF4FB4" w:rsidRPr="00173165">
        <w:rPr>
          <w:color w:val="000000"/>
        </w:rPr>
        <w:t>39765</w:t>
      </w:r>
      <w:r w:rsidR="00620061" w:rsidRPr="00173165">
        <w:rPr>
          <w:color w:val="000000"/>
        </w:rPr>
        <w:t>,7</w:t>
      </w:r>
      <w:r w:rsidR="00AC6574" w:rsidRPr="00173165">
        <w:rPr>
          <w:color w:val="000000"/>
        </w:rPr>
        <w:t xml:space="preserve"> тыс. руб., уточненный</w:t>
      </w:r>
      <w:r w:rsidRPr="00173165">
        <w:rPr>
          <w:color w:val="000000"/>
        </w:rPr>
        <w:t xml:space="preserve"> план составил </w:t>
      </w:r>
      <w:r w:rsidR="00AC6574" w:rsidRPr="00173165">
        <w:rPr>
          <w:color w:val="000000"/>
        </w:rPr>
        <w:t>24063,4</w:t>
      </w:r>
      <w:r w:rsidRPr="00173165">
        <w:rPr>
          <w:color w:val="000000"/>
        </w:rPr>
        <w:t xml:space="preserve"> тыс. руб., исполнение составило</w:t>
      </w:r>
      <w:r w:rsidR="00AC6574" w:rsidRPr="00173165">
        <w:rPr>
          <w:color w:val="000000"/>
        </w:rPr>
        <w:t>24063,4</w:t>
      </w:r>
      <w:r w:rsidRPr="00173165">
        <w:rPr>
          <w:color w:val="000000"/>
        </w:rPr>
        <w:t xml:space="preserve"> тыс. руб. или </w:t>
      </w:r>
      <w:r w:rsidR="00AC6574" w:rsidRPr="00173165">
        <w:rPr>
          <w:color w:val="000000"/>
        </w:rPr>
        <w:t>100</w:t>
      </w:r>
      <w:r w:rsidRPr="00173165">
        <w:rPr>
          <w:color w:val="000000"/>
        </w:rPr>
        <w:t xml:space="preserve">%. Не использованные лимиты составили </w:t>
      </w:r>
      <w:r w:rsidR="00AC6574" w:rsidRPr="00173165">
        <w:rPr>
          <w:color w:val="000000"/>
        </w:rPr>
        <w:t>0</w:t>
      </w:r>
      <w:r w:rsidRPr="00173165">
        <w:rPr>
          <w:color w:val="000000"/>
        </w:rPr>
        <w:t xml:space="preserve"> тыс. руб.</w:t>
      </w:r>
    </w:p>
    <w:p w:rsidR="00723B93" w:rsidRPr="00173165" w:rsidRDefault="00723B93" w:rsidP="00723B93">
      <w:pPr>
        <w:ind w:firstLine="540"/>
        <w:jc w:val="both"/>
        <w:outlineLvl w:val="0"/>
        <w:rPr>
          <w:color w:val="000000"/>
        </w:rPr>
      </w:pPr>
      <w:r w:rsidRPr="00173165">
        <w:rPr>
          <w:color w:val="000000"/>
        </w:rPr>
        <w:t xml:space="preserve">В рамках подраздела по МП «Развитие образования в МО «Город Адыгейск», занимающей в расходах подраздела 10,3 процента, осуществлялось финансирование деятельности Центра «Юта» и </w:t>
      </w:r>
      <w:proofErr w:type="spellStart"/>
      <w:r w:rsidRPr="00173165">
        <w:rPr>
          <w:color w:val="000000"/>
        </w:rPr>
        <w:t>ДЮСШа</w:t>
      </w:r>
      <w:proofErr w:type="spellEnd"/>
      <w:r w:rsidRPr="00173165">
        <w:rPr>
          <w:color w:val="000000"/>
        </w:rPr>
        <w:t>.</w:t>
      </w:r>
    </w:p>
    <w:p w:rsidR="00723B93" w:rsidRPr="00173165" w:rsidRDefault="00723B93" w:rsidP="00723B93">
      <w:pPr>
        <w:ind w:firstLine="540"/>
        <w:jc w:val="both"/>
        <w:outlineLvl w:val="0"/>
        <w:rPr>
          <w:color w:val="000000"/>
        </w:rPr>
      </w:pPr>
      <w:r w:rsidRPr="00173165">
        <w:rPr>
          <w:color w:val="000000"/>
        </w:rPr>
        <w:t>Финансирование деятельности учреждений дополнительного образования осуществлялось в проверяемом периоде: на основании Соглашения о порядке и условиях предоставления субсидий на финансовое обеспечение выполнения муниципального задания, субсидий на иные цели в соответствии с утвержденными Планами ФХД.</w:t>
      </w:r>
    </w:p>
    <w:p w:rsidR="00723B93" w:rsidRPr="00173165" w:rsidRDefault="00723B93" w:rsidP="00723B93">
      <w:pPr>
        <w:ind w:firstLine="540"/>
        <w:jc w:val="both"/>
        <w:outlineLvl w:val="0"/>
      </w:pPr>
      <w:r w:rsidRPr="00173165">
        <w:t>В соответствии со статьей 69.2 Бюджетного кодекса Российской Федерации показатели муниципального задания используются для определения объема субсидий на выполнение государственного (муниципального) задания бюджетным или автономным учреждением.</w:t>
      </w:r>
    </w:p>
    <w:p w:rsidR="00723B93" w:rsidRPr="00173165" w:rsidRDefault="00723B93" w:rsidP="00DB2122">
      <w:pPr>
        <w:ind w:firstLine="540"/>
        <w:jc w:val="both"/>
        <w:outlineLvl w:val="0"/>
      </w:pPr>
    </w:p>
    <w:p w:rsidR="00A42CF2" w:rsidRPr="00173165" w:rsidRDefault="00A42CF2" w:rsidP="00584109">
      <w:pPr>
        <w:ind w:firstLine="540"/>
        <w:jc w:val="center"/>
        <w:rPr>
          <w:b/>
        </w:rPr>
      </w:pPr>
      <w:r w:rsidRPr="00173165">
        <w:rPr>
          <w:b/>
        </w:rPr>
        <w:t>1. Краткая информация о муниципальной программе «Развитие образования в муниципальном образовании «Город Адыгейск»</w:t>
      </w:r>
    </w:p>
    <w:p w:rsidR="00F33833" w:rsidRPr="00173165" w:rsidRDefault="00F33833" w:rsidP="00584109">
      <w:pPr>
        <w:ind w:firstLine="540"/>
        <w:jc w:val="center"/>
        <w:rPr>
          <w:b/>
        </w:rPr>
      </w:pPr>
    </w:p>
    <w:p w:rsidR="00584109" w:rsidRPr="00173165" w:rsidRDefault="00584109" w:rsidP="00584109">
      <w:pPr>
        <w:ind w:firstLine="540"/>
        <w:jc w:val="both"/>
      </w:pPr>
      <w:r w:rsidRPr="00173165">
        <w:t>Согласно пункту 1 статьи 179 БК РФ разработка, реализация и оценка эффективности муниципальных программ осуществляется в порядке, установленном местной администрацией. В целях реализации данной статьи администрацией муниципального образования «Город Адыгейск» установлен Порядок разработки, реализации и оценки эффективности муниципальных программ</w:t>
      </w:r>
      <w:r w:rsidR="008C4D7D" w:rsidRPr="00173165">
        <w:t xml:space="preserve"> </w:t>
      </w:r>
      <w:r w:rsidRPr="00173165">
        <w:t xml:space="preserve">и методических указаний </w:t>
      </w:r>
      <w:r w:rsidR="008C4D7D" w:rsidRPr="00173165">
        <w:t>по разработке и реализации муниципальных программ</w:t>
      </w:r>
      <w:r w:rsidR="00BA28BB" w:rsidRPr="00173165">
        <w:t>, утвержденный</w:t>
      </w:r>
      <w:r w:rsidR="008C4D7D" w:rsidRPr="00173165">
        <w:t xml:space="preserve"> постановлением администрации МО «Город Адыгейск» от </w:t>
      </w:r>
      <w:r w:rsidR="00937C0E" w:rsidRPr="00173165">
        <w:t>10</w:t>
      </w:r>
      <w:r w:rsidR="008C4D7D" w:rsidRPr="00173165">
        <w:t>.0</w:t>
      </w:r>
      <w:r w:rsidR="00937C0E" w:rsidRPr="00173165">
        <w:t>9</w:t>
      </w:r>
      <w:r w:rsidR="008C4D7D" w:rsidRPr="00173165">
        <w:t>.</w:t>
      </w:r>
      <w:r w:rsidR="00D72ADC" w:rsidRPr="00173165">
        <w:t>20</w:t>
      </w:r>
      <w:r w:rsidR="008C4D7D" w:rsidRPr="00173165">
        <w:t>1</w:t>
      </w:r>
      <w:r w:rsidR="00937C0E" w:rsidRPr="00173165">
        <w:t>9</w:t>
      </w:r>
      <w:r w:rsidR="008C4D7D" w:rsidRPr="00173165">
        <w:t xml:space="preserve"> г. № </w:t>
      </w:r>
      <w:r w:rsidR="00937C0E" w:rsidRPr="00173165">
        <w:t>257</w:t>
      </w:r>
      <w:r w:rsidR="008C4D7D" w:rsidRPr="00173165">
        <w:t xml:space="preserve"> «О </w:t>
      </w:r>
      <w:r w:rsidR="00937C0E" w:rsidRPr="00173165">
        <w:t>П</w:t>
      </w:r>
      <w:r w:rsidR="008C4D7D" w:rsidRPr="00173165">
        <w:t xml:space="preserve">орядке </w:t>
      </w:r>
      <w:r w:rsidR="00937C0E" w:rsidRPr="00173165">
        <w:t>принятия решений о разработке муниципальных программ муниципального образования «Город Адыгейск», их формирования и</w:t>
      </w:r>
      <w:r w:rsidR="008C4D7D" w:rsidRPr="00173165">
        <w:t xml:space="preserve"> реализации</w:t>
      </w:r>
      <w:r w:rsidR="00937C0E" w:rsidRPr="00173165">
        <w:t>, проведения</w:t>
      </w:r>
      <w:r w:rsidR="008C4D7D" w:rsidRPr="00173165">
        <w:t xml:space="preserve"> оценки эффективности </w:t>
      </w:r>
      <w:r w:rsidR="00937C0E" w:rsidRPr="00173165">
        <w:t xml:space="preserve">реализации муниципальных программ </w:t>
      </w:r>
      <w:r w:rsidR="008C4D7D" w:rsidRPr="00173165">
        <w:t xml:space="preserve">муниципального образования </w:t>
      </w:r>
      <w:r w:rsidR="007C5E71" w:rsidRPr="00173165">
        <w:t>«</w:t>
      </w:r>
      <w:r w:rsidR="008C4D7D" w:rsidRPr="00173165">
        <w:t>Город Адыгейск»</w:t>
      </w:r>
      <w:r w:rsidR="00937C0E" w:rsidRPr="00173165">
        <w:t xml:space="preserve"> и ее критерии»</w:t>
      </w:r>
      <w:r w:rsidR="008C4D7D" w:rsidRPr="00173165">
        <w:t>.</w:t>
      </w:r>
    </w:p>
    <w:p w:rsidR="0065554D" w:rsidRPr="00173165" w:rsidRDefault="0065554D" w:rsidP="0065554D">
      <w:pPr>
        <w:ind w:firstLine="540"/>
        <w:jc w:val="both"/>
      </w:pPr>
      <w:r w:rsidRPr="00173165">
        <w:t xml:space="preserve">Программа первоначально утверждена постановлением администрации МО «Город Адыгейск» от </w:t>
      </w:r>
      <w:r w:rsidR="00D536C6" w:rsidRPr="00173165">
        <w:t>30</w:t>
      </w:r>
      <w:r w:rsidRPr="00173165">
        <w:t>.1</w:t>
      </w:r>
      <w:r w:rsidR="00D536C6" w:rsidRPr="00173165">
        <w:t>2</w:t>
      </w:r>
      <w:r w:rsidRPr="00173165">
        <w:t>.20</w:t>
      </w:r>
      <w:r w:rsidR="00D536C6" w:rsidRPr="00173165">
        <w:t>21</w:t>
      </w:r>
      <w:r w:rsidRPr="00173165">
        <w:t xml:space="preserve"> г. № </w:t>
      </w:r>
      <w:r w:rsidR="00D536C6" w:rsidRPr="00173165">
        <w:t xml:space="preserve">465 </w:t>
      </w:r>
      <w:r w:rsidRPr="00173165">
        <w:t>«Об утверждении муниципальной программы «Развитие образования в муниципальном образовании «Город Адыгейск» на 20</w:t>
      </w:r>
      <w:r w:rsidR="00D536C6" w:rsidRPr="00173165">
        <w:t>21</w:t>
      </w:r>
      <w:r w:rsidRPr="00173165">
        <w:t>-202</w:t>
      </w:r>
      <w:r w:rsidR="00D536C6" w:rsidRPr="00173165">
        <w:t>3</w:t>
      </w:r>
      <w:r w:rsidRPr="00173165">
        <w:t xml:space="preserve"> годы» с объемом финансирования на 202</w:t>
      </w:r>
      <w:r w:rsidR="00C02B0B" w:rsidRPr="00173165">
        <w:t>2</w:t>
      </w:r>
      <w:r w:rsidRPr="00173165">
        <w:t xml:space="preserve"> г. – </w:t>
      </w:r>
      <w:r w:rsidR="00D536C6" w:rsidRPr="00173165">
        <w:t>280318,8</w:t>
      </w:r>
      <w:r w:rsidRPr="00173165">
        <w:t xml:space="preserve"> тыс</w:t>
      </w:r>
      <w:r w:rsidR="00DD45B8" w:rsidRPr="00173165">
        <w:t xml:space="preserve">. руб. </w:t>
      </w:r>
      <w:r w:rsidR="000D2F56" w:rsidRPr="00173165">
        <w:t>Постановлением администрации</w:t>
      </w:r>
      <w:r w:rsidRPr="00173165">
        <w:t xml:space="preserve"> МО «Гор</w:t>
      </w:r>
      <w:r w:rsidR="008857C7" w:rsidRPr="00173165">
        <w:t>од Адыгейск» в Программу вносило</w:t>
      </w:r>
      <w:r w:rsidRPr="00173165">
        <w:t xml:space="preserve">сь </w:t>
      </w:r>
      <w:r w:rsidR="008857C7" w:rsidRPr="00173165">
        <w:t>изменение</w:t>
      </w:r>
      <w:r w:rsidRPr="00173165">
        <w:t xml:space="preserve"> путем утверждения в новой редакции.      </w:t>
      </w:r>
    </w:p>
    <w:p w:rsidR="008247A4" w:rsidRPr="00173165" w:rsidRDefault="0065554D" w:rsidP="00AD0BB2">
      <w:pPr>
        <w:ind w:firstLine="540"/>
        <w:jc w:val="both"/>
      </w:pPr>
      <w:r w:rsidRPr="00173165">
        <w:lastRenderedPageBreak/>
        <w:t>Решением Совета народных депутатов муниципального образования «Город Адыгейск» от 10.12.20</w:t>
      </w:r>
      <w:r w:rsidR="00C02B0B" w:rsidRPr="00173165">
        <w:t>2</w:t>
      </w:r>
      <w:r w:rsidR="000F32C7" w:rsidRPr="00173165">
        <w:t>1</w:t>
      </w:r>
      <w:r w:rsidRPr="00173165">
        <w:t xml:space="preserve"> г. </w:t>
      </w:r>
      <w:r w:rsidR="000F32C7" w:rsidRPr="00173165">
        <w:t>№</w:t>
      </w:r>
      <w:r w:rsidR="00C02B0B" w:rsidRPr="00173165">
        <w:t>120</w:t>
      </w:r>
      <w:r w:rsidRPr="00173165">
        <w:t xml:space="preserve"> «О бюджете муниципального образования «Город Адыгейск» на 202</w:t>
      </w:r>
      <w:r w:rsidR="00C02B0B" w:rsidRPr="00173165">
        <w:t>2</w:t>
      </w:r>
      <w:r w:rsidRPr="00173165">
        <w:t xml:space="preserve"> год и на плановый период 202</w:t>
      </w:r>
      <w:r w:rsidR="00C02B0B" w:rsidRPr="00173165">
        <w:t>3</w:t>
      </w:r>
      <w:r w:rsidRPr="00173165">
        <w:t xml:space="preserve"> и 20</w:t>
      </w:r>
      <w:r w:rsidR="00C02B0B" w:rsidRPr="00173165">
        <w:t>24</w:t>
      </w:r>
      <w:r w:rsidRPr="00173165">
        <w:t xml:space="preserve"> годов» на реализацию программы «Развитие образования в муниципальном образовании «Город Адыгейск» на 20</w:t>
      </w:r>
      <w:r w:rsidR="005C19BF" w:rsidRPr="00173165">
        <w:t>21</w:t>
      </w:r>
      <w:r w:rsidRPr="00173165">
        <w:t>-20</w:t>
      </w:r>
      <w:r w:rsidR="00C02B0B" w:rsidRPr="00173165">
        <w:t>2</w:t>
      </w:r>
      <w:r w:rsidR="005C19BF" w:rsidRPr="00173165">
        <w:t>3</w:t>
      </w:r>
      <w:r w:rsidRPr="00173165">
        <w:t xml:space="preserve"> годы» в 202</w:t>
      </w:r>
      <w:r w:rsidR="00C02B0B" w:rsidRPr="00173165">
        <w:t>2</w:t>
      </w:r>
      <w:r w:rsidRPr="00173165">
        <w:t xml:space="preserve"> году утвержден объем финансирования в сумме </w:t>
      </w:r>
      <w:r w:rsidR="004F3AA2" w:rsidRPr="00173165">
        <w:t>295057,5</w:t>
      </w:r>
      <w:r w:rsidRPr="00173165">
        <w:t xml:space="preserve"> тыс. руб. </w:t>
      </w:r>
      <w:r w:rsidR="008247A4" w:rsidRPr="00173165">
        <w:t xml:space="preserve">Соответственно, </w:t>
      </w:r>
      <w:r w:rsidRPr="00173165">
        <w:t>внесен</w:t>
      </w:r>
      <w:r w:rsidR="008857C7" w:rsidRPr="00173165">
        <w:t>о изменение</w:t>
      </w:r>
      <w:r w:rsidRPr="00173165">
        <w:t xml:space="preserve"> в Программу  постановлением администрации МО «Город Адыгейск» от </w:t>
      </w:r>
      <w:r w:rsidR="005C19BF" w:rsidRPr="00173165">
        <w:t>09.01</w:t>
      </w:r>
      <w:r w:rsidRPr="00173165">
        <w:t>.</w:t>
      </w:r>
      <w:r w:rsidR="005C19BF" w:rsidRPr="00173165">
        <w:t>2023</w:t>
      </w:r>
      <w:r w:rsidRPr="00173165">
        <w:t xml:space="preserve"> г. № </w:t>
      </w:r>
      <w:r w:rsidR="005C19BF" w:rsidRPr="00173165">
        <w:t>01</w:t>
      </w:r>
      <w:r w:rsidRPr="00173165">
        <w:t xml:space="preserve"> «О внесении изменений в постановление администрации муниципального образования «Город Адыгейск» </w:t>
      </w:r>
      <w:r w:rsidR="005C19BF" w:rsidRPr="00173165">
        <w:t>№465</w:t>
      </w:r>
      <w:r w:rsidRPr="00173165">
        <w:t xml:space="preserve"> от </w:t>
      </w:r>
      <w:r w:rsidR="005C19BF" w:rsidRPr="00173165">
        <w:t>30</w:t>
      </w:r>
      <w:r w:rsidRPr="00173165">
        <w:t>.12.20</w:t>
      </w:r>
      <w:r w:rsidR="005C19BF" w:rsidRPr="00173165">
        <w:t>21</w:t>
      </w:r>
      <w:r w:rsidRPr="00173165">
        <w:t xml:space="preserve"> г. «Об утверждении муниципальной программы «Развитие образования в муниципальном образовании «Город Адыгейск» на 20</w:t>
      </w:r>
      <w:r w:rsidR="005C19BF" w:rsidRPr="00173165">
        <w:t>21</w:t>
      </w:r>
      <w:r w:rsidRPr="00173165">
        <w:t>-20</w:t>
      </w:r>
      <w:r w:rsidR="005C19BF" w:rsidRPr="00173165">
        <w:t>23</w:t>
      </w:r>
      <w:r w:rsidRPr="00173165">
        <w:t xml:space="preserve"> годы» в соответствии с принятым Решением о бюджете. </w:t>
      </w:r>
    </w:p>
    <w:p w:rsidR="005C49C2" w:rsidRPr="00173165" w:rsidRDefault="005C49C2" w:rsidP="005C49C2">
      <w:pPr>
        <w:ind w:firstLine="540"/>
        <w:jc w:val="both"/>
      </w:pPr>
      <w:r w:rsidRPr="00173165">
        <w:t>Программа состоит из следующих подпрограмм:</w:t>
      </w:r>
    </w:p>
    <w:p w:rsidR="005C49C2" w:rsidRPr="00173165" w:rsidRDefault="005C49C2" w:rsidP="005C49C2">
      <w:r w:rsidRPr="00173165">
        <w:t xml:space="preserve">Подпрограмма 1 </w:t>
      </w:r>
      <w:r w:rsidR="00B32991" w:rsidRPr="00173165">
        <w:t>«</w:t>
      </w:r>
      <w:r w:rsidRPr="00173165">
        <w:t>Развитие образования</w:t>
      </w:r>
      <w:r w:rsidR="00B32991" w:rsidRPr="00173165">
        <w:t>»;</w:t>
      </w:r>
      <w:r w:rsidRPr="00173165">
        <w:t xml:space="preserve"> </w:t>
      </w:r>
    </w:p>
    <w:p w:rsidR="005C49C2" w:rsidRPr="00173165" w:rsidRDefault="005C49C2" w:rsidP="005C49C2">
      <w:r w:rsidRPr="00173165">
        <w:t xml:space="preserve">Подпрограмма 2 </w:t>
      </w:r>
      <w:r w:rsidR="00B32991" w:rsidRPr="00173165">
        <w:t>«</w:t>
      </w:r>
      <w:r w:rsidRPr="00173165">
        <w:t xml:space="preserve">Организационное и методическое </w:t>
      </w:r>
      <w:r w:rsidR="00D536C6" w:rsidRPr="00173165">
        <w:t xml:space="preserve">обеспечение </w:t>
      </w:r>
      <w:r w:rsidRPr="00173165">
        <w:t xml:space="preserve">реализации                  </w:t>
      </w:r>
    </w:p>
    <w:p w:rsidR="005C49C2" w:rsidRPr="00173165" w:rsidRDefault="005C49C2" w:rsidP="005C49C2">
      <w:r w:rsidRPr="00173165">
        <w:t xml:space="preserve">                             муниципальной программы</w:t>
      </w:r>
      <w:r w:rsidR="00B32991" w:rsidRPr="00173165">
        <w:t>»;</w:t>
      </w:r>
    </w:p>
    <w:p w:rsidR="005C49C2" w:rsidRPr="00173165" w:rsidRDefault="005C49C2" w:rsidP="005C49C2">
      <w:r w:rsidRPr="00173165">
        <w:t xml:space="preserve">Подпрограмма 3 </w:t>
      </w:r>
      <w:r w:rsidR="00B32991" w:rsidRPr="00173165">
        <w:t>«</w:t>
      </w:r>
      <w:r w:rsidRPr="00173165">
        <w:t xml:space="preserve">Обеспечение </w:t>
      </w:r>
      <w:r w:rsidR="00335A0E" w:rsidRPr="00173165">
        <w:t>социальной поддержки детей-сирот и детей, оставшихся без попечения родителей</w:t>
      </w:r>
      <w:r w:rsidR="00B32991" w:rsidRPr="00173165">
        <w:t>»;</w:t>
      </w:r>
    </w:p>
    <w:p w:rsidR="005C49C2" w:rsidRPr="00173165" w:rsidRDefault="005C49C2" w:rsidP="005C49C2">
      <w:r w:rsidRPr="00173165">
        <w:t xml:space="preserve">Подпрограмма 4 </w:t>
      </w:r>
      <w:r w:rsidR="00B32991" w:rsidRPr="00173165">
        <w:t>«</w:t>
      </w:r>
      <w:r w:rsidRPr="00173165">
        <w:t xml:space="preserve">Привлечение молодых специалистов для работы в        </w:t>
      </w:r>
    </w:p>
    <w:p w:rsidR="005C49C2" w:rsidRPr="00173165" w:rsidRDefault="005C49C2" w:rsidP="005C49C2">
      <w:r w:rsidRPr="00173165">
        <w:t xml:space="preserve">                             муниципальных учреждениях образования муниципального </w:t>
      </w:r>
    </w:p>
    <w:p w:rsidR="005C49C2" w:rsidRPr="00173165" w:rsidRDefault="005C49C2" w:rsidP="005C49C2">
      <w:r w:rsidRPr="00173165">
        <w:t xml:space="preserve">                             образования «Город Адыгейск»</w:t>
      </w:r>
      <w:r w:rsidR="00B32991" w:rsidRPr="00173165">
        <w:t>.</w:t>
      </w:r>
    </w:p>
    <w:p w:rsidR="00FE42DA" w:rsidRPr="00173165" w:rsidRDefault="006C6228" w:rsidP="0065554D">
      <w:pPr>
        <w:ind w:firstLine="540"/>
        <w:jc w:val="both"/>
      </w:pPr>
      <w:r w:rsidRPr="00173165">
        <w:t xml:space="preserve">Каждая подпрограмма ставит свои цели и определяет свои задачи. </w:t>
      </w:r>
    </w:p>
    <w:p w:rsidR="00866D06" w:rsidRPr="00173165" w:rsidRDefault="00866D06" w:rsidP="00236E4A">
      <w:pPr>
        <w:pStyle w:val="aa"/>
        <w:ind w:firstLine="567"/>
        <w:rPr>
          <w:rFonts w:ascii="Times New Roman" w:hAnsi="Times New Roman" w:cs="Times New Roman"/>
          <w:b/>
          <w:sz w:val="24"/>
          <w:szCs w:val="24"/>
        </w:rPr>
      </w:pPr>
      <w:r w:rsidRPr="00173165">
        <w:rPr>
          <w:rFonts w:ascii="Times New Roman" w:hAnsi="Times New Roman" w:cs="Times New Roman"/>
          <w:b/>
          <w:sz w:val="24"/>
          <w:szCs w:val="24"/>
        </w:rPr>
        <w:t xml:space="preserve">2. Проверка полноты и достоверности отчетности о реализации </w:t>
      </w:r>
      <w:r w:rsidRPr="00173165">
        <w:rPr>
          <w:rFonts w:ascii="Times New Roman" w:hAnsi="Times New Roman" w:cs="Times New Roman"/>
          <w:b/>
          <w:color w:val="000000" w:themeColor="text1"/>
          <w:sz w:val="24"/>
          <w:szCs w:val="24"/>
        </w:rPr>
        <w:t xml:space="preserve">муниципальной </w:t>
      </w:r>
      <w:r w:rsidRPr="00173165">
        <w:rPr>
          <w:rFonts w:ascii="Times New Roman" w:hAnsi="Times New Roman" w:cs="Times New Roman"/>
          <w:b/>
          <w:sz w:val="24"/>
          <w:szCs w:val="24"/>
        </w:rPr>
        <w:t>Программы</w:t>
      </w:r>
      <w:r w:rsidR="00BB3861" w:rsidRPr="00173165">
        <w:rPr>
          <w:rFonts w:ascii="Times New Roman" w:hAnsi="Times New Roman" w:cs="Times New Roman"/>
          <w:b/>
          <w:sz w:val="24"/>
          <w:szCs w:val="24"/>
        </w:rPr>
        <w:t xml:space="preserve"> </w:t>
      </w:r>
    </w:p>
    <w:p w:rsidR="00BB3861" w:rsidRPr="00173165" w:rsidRDefault="00484105" w:rsidP="00BB6673">
      <w:pPr>
        <w:jc w:val="both"/>
      </w:pPr>
      <w:r w:rsidRPr="00173165">
        <w:t xml:space="preserve">          </w:t>
      </w:r>
      <w:r w:rsidR="005C6463" w:rsidRPr="00173165">
        <w:t xml:space="preserve">Согласно </w:t>
      </w:r>
      <w:r w:rsidRPr="00173165">
        <w:t>г</w:t>
      </w:r>
      <w:r w:rsidR="005C6463" w:rsidRPr="00173165">
        <w:t xml:space="preserve">одовому отчету </w:t>
      </w:r>
      <w:r w:rsidR="000865ED" w:rsidRPr="00173165">
        <w:t>за 202</w:t>
      </w:r>
      <w:r w:rsidR="00BA69C8" w:rsidRPr="00173165">
        <w:t>2</w:t>
      </w:r>
      <w:r w:rsidR="000865ED" w:rsidRPr="00173165">
        <w:t xml:space="preserve"> год одиннадцать индикаторов муниципальной программы выполнены полностью.</w:t>
      </w:r>
    </w:p>
    <w:p w:rsidR="00BF4501" w:rsidRPr="00173165" w:rsidRDefault="00BF4501" w:rsidP="00BB6673">
      <w:pPr>
        <w:jc w:val="both"/>
      </w:pPr>
      <w:r w:rsidRPr="00173165">
        <w:tab/>
      </w:r>
      <w:r w:rsidR="00774BB7" w:rsidRPr="00173165">
        <w:t xml:space="preserve">В ходе реализации мероприятий </w:t>
      </w:r>
      <w:r w:rsidRPr="00173165">
        <w:t>муниципальной программы «Развитие образования в муниципальном образовании «Город Адыгейск» на 20</w:t>
      </w:r>
      <w:r w:rsidR="00BA69C8" w:rsidRPr="00173165">
        <w:t>21</w:t>
      </w:r>
      <w:r w:rsidRPr="00173165">
        <w:t>-202</w:t>
      </w:r>
      <w:r w:rsidR="00BA69C8" w:rsidRPr="00173165">
        <w:t>3</w:t>
      </w:r>
      <w:r w:rsidRPr="00173165">
        <w:t xml:space="preserve"> годы» настоящей проверкой установлены </w:t>
      </w:r>
      <w:r w:rsidR="00BF2E16" w:rsidRPr="00173165">
        <w:t xml:space="preserve">нарушения </w:t>
      </w:r>
      <w:r w:rsidR="00774BB7" w:rsidRPr="00173165">
        <w:t>в финансово-хозяйственной части.</w:t>
      </w:r>
    </w:p>
    <w:p w:rsidR="009D1ED8" w:rsidRPr="00173165" w:rsidRDefault="009D1ED8" w:rsidP="00BB6673">
      <w:pPr>
        <w:jc w:val="both"/>
      </w:pPr>
      <w:r w:rsidRPr="00173165">
        <w:tab/>
      </w:r>
      <w:r w:rsidR="007F54C4" w:rsidRPr="00173165">
        <w:t xml:space="preserve">В </w:t>
      </w:r>
      <w:r w:rsidR="00897FD4" w:rsidRPr="00173165">
        <w:t xml:space="preserve">МБОУ ДОД </w:t>
      </w:r>
      <w:r w:rsidR="00FB41AA" w:rsidRPr="00173165">
        <w:t>ДЮСШ было</w:t>
      </w:r>
      <w:r w:rsidRPr="00173165">
        <w:t xml:space="preserve"> приобретено </w:t>
      </w:r>
      <w:r w:rsidR="0087468E" w:rsidRPr="00173165">
        <w:t>зеркало на сумму 3,9 тыс. руб.  и часы</w:t>
      </w:r>
      <w:r w:rsidRPr="00173165">
        <w:t xml:space="preserve"> </w:t>
      </w:r>
      <w:r w:rsidR="00113FDC" w:rsidRPr="00173165">
        <w:t>на сумму</w:t>
      </w:r>
      <w:r w:rsidRPr="00173165">
        <w:t xml:space="preserve"> </w:t>
      </w:r>
      <w:r w:rsidR="0087468E" w:rsidRPr="00173165">
        <w:t xml:space="preserve">0,9 </w:t>
      </w:r>
      <w:r w:rsidRPr="00173165">
        <w:t xml:space="preserve">тыс. руб. </w:t>
      </w:r>
      <w:r w:rsidR="00B45AAB" w:rsidRPr="00173165">
        <w:t xml:space="preserve">Данные основные средства поставлены на бюджетный учет и списаны по акту списания как материальные запасы. </w:t>
      </w:r>
    </w:p>
    <w:p w:rsidR="009D1ED8" w:rsidRPr="00173165" w:rsidRDefault="00B45AAB" w:rsidP="009D1ED8">
      <w:pPr>
        <w:pStyle w:val="ad"/>
        <w:spacing w:after="0" w:line="240" w:lineRule="auto"/>
        <w:ind w:left="0" w:firstLine="540"/>
        <w:jc w:val="both"/>
        <w:rPr>
          <w:rFonts w:ascii="Times New Roman" w:hAnsi="Times New Roman"/>
          <w:i/>
          <w:sz w:val="24"/>
          <w:szCs w:val="24"/>
        </w:rPr>
      </w:pPr>
      <w:r w:rsidRPr="00173165">
        <w:rPr>
          <w:rFonts w:ascii="Times New Roman" w:hAnsi="Times New Roman"/>
          <w:bCs/>
          <w:i/>
          <w:sz w:val="24"/>
          <w:szCs w:val="24"/>
        </w:rPr>
        <w:t>Так</w:t>
      </w:r>
      <w:r w:rsidR="007F54C4" w:rsidRPr="00173165">
        <w:rPr>
          <w:rFonts w:ascii="Times New Roman" w:hAnsi="Times New Roman"/>
          <w:bCs/>
          <w:i/>
          <w:sz w:val="24"/>
          <w:szCs w:val="24"/>
        </w:rPr>
        <w:t>им образом</w:t>
      </w:r>
      <w:r w:rsidRPr="00173165">
        <w:rPr>
          <w:rFonts w:ascii="Times New Roman" w:hAnsi="Times New Roman"/>
          <w:bCs/>
          <w:i/>
          <w:sz w:val="24"/>
          <w:szCs w:val="24"/>
        </w:rPr>
        <w:t xml:space="preserve">, </w:t>
      </w:r>
      <w:r w:rsidR="009D1ED8" w:rsidRPr="00173165">
        <w:rPr>
          <w:rFonts w:ascii="Times New Roman" w:hAnsi="Times New Roman"/>
          <w:bCs/>
          <w:i/>
          <w:sz w:val="24"/>
          <w:szCs w:val="24"/>
        </w:rPr>
        <w:t xml:space="preserve"> </w:t>
      </w:r>
      <w:r w:rsidRPr="00173165">
        <w:rPr>
          <w:rFonts w:ascii="Times New Roman" w:hAnsi="Times New Roman"/>
          <w:bCs/>
          <w:i/>
          <w:sz w:val="24"/>
          <w:szCs w:val="24"/>
        </w:rPr>
        <w:t>в</w:t>
      </w:r>
      <w:r w:rsidR="009D1ED8" w:rsidRPr="00173165">
        <w:rPr>
          <w:rFonts w:ascii="Times New Roman" w:hAnsi="Times New Roman"/>
          <w:bCs/>
          <w:i/>
          <w:sz w:val="24"/>
          <w:szCs w:val="24"/>
        </w:rPr>
        <w:t xml:space="preserve">  нарушение   </w:t>
      </w:r>
      <w:hyperlink r:id="rId10" w:history="1">
        <w:r w:rsidR="009D1ED8" w:rsidRPr="00173165">
          <w:rPr>
            <w:rFonts w:ascii="Times New Roman" w:hAnsi="Times New Roman"/>
            <w:i/>
            <w:iCs/>
            <w:sz w:val="24"/>
            <w:szCs w:val="24"/>
          </w:rPr>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009D1ED8" w:rsidRPr="00173165">
        <w:rPr>
          <w:rFonts w:ascii="Times New Roman" w:hAnsi="Times New Roman"/>
          <w:bCs/>
          <w:i/>
          <w:sz w:val="24"/>
          <w:szCs w:val="24"/>
        </w:rPr>
        <w:t>,</w:t>
      </w:r>
      <w:r w:rsidR="009D1ED8" w:rsidRPr="00173165">
        <w:rPr>
          <w:rFonts w:ascii="Times New Roman" w:hAnsi="Times New Roman"/>
          <w:b/>
          <w:bCs/>
          <w:i/>
          <w:sz w:val="24"/>
          <w:szCs w:val="24"/>
        </w:rPr>
        <w:t xml:space="preserve"> </w:t>
      </w:r>
      <w:r w:rsidR="009D1ED8" w:rsidRPr="00173165">
        <w:rPr>
          <w:rFonts w:ascii="Times New Roman" w:hAnsi="Times New Roman"/>
          <w:bCs/>
          <w:i/>
          <w:sz w:val="24"/>
          <w:szCs w:val="24"/>
        </w:rPr>
        <w:t xml:space="preserve">Приказа Министерства финансов РФ от 16.12.2010г. №174н «Об утверждении Плана счетов бухгалтерского учета бюджетных учреждений и Инструкции по его применению", Стандарта </w:t>
      </w:r>
      <w:r w:rsidR="009D1ED8" w:rsidRPr="00173165">
        <w:rPr>
          <w:rFonts w:ascii="Times New Roman" w:hAnsi="Times New Roman"/>
          <w:i/>
          <w:sz w:val="24"/>
          <w:szCs w:val="24"/>
        </w:rPr>
        <w:t>ОС № 257н</w:t>
      </w:r>
      <w:r w:rsidR="0087468E" w:rsidRPr="00173165">
        <w:rPr>
          <w:rFonts w:ascii="Times New Roman" w:hAnsi="Times New Roman"/>
          <w:i/>
          <w:sz w:val="24"/>
          <w:szCs w:val="24"/>
        </w:rPr>
        <w:t xml:space="preserve"> списаны</w:t>
      </w:r>
      <w:r w:rsidR="009D1ED8" w:rsidRPr="00173165">
        <w:rPr>
          <w:rFonts w:ascii="Times New Roman" w:hAnsi="Times New Roman"/>
          <w:i/>
          <w:sz w:val="24"/>
          <w:szCs w:val="24"/>
        </w:rPr>
        <w:t xml:space="preserve"> в сумме </w:t>
      </w:r>
      <w:r w:rsidR="0087468E" w:rsidRPr="00173165">
        <w:rPr>
          <w:rFonts w:ascii="Times New Roman" w:hAnsi="Times New Roman"/>
          <w:i/>
          <w:sz w:val="24"/>
          <w:szCs w:val="24"/>
        </w:rPr>
        <w:t>4,8</w:t>
      </w:r>
      <w:r w:rsidR="00580278" w:rsidRPr="00173165">
        <w:rPr>
          <w:rFonts w:ascii="Times New Roman" w:hAnsi="Times New Roman"/>
          <w:i/>
          <w:sz w:val="24"/>
          <w:szCs w:val="24"/>
        </w:rPr>
        <w:t xml:space="preserve"> тыс.</w:t>
      </w:r>
      <w:r w:rsidR="009D1ED8" w:rsidRPr="00173165">
        <w:rPr>
          <w:rFonts w:ascii="Times New Roman" w:hAnsi="Times New Roman"/>
          <w:i/>
          <w:sz w:val="24"/>
          <w:szCs w:val="24"/>
        </w:rPr>
        <w:t xml:space="preserve"> руб., в том числе:</w:t>
      </w:r>
    </w:p>
    <w:p w:rsidR="009D1ED8" w:rsidRPr="00173165" w:rsidRDefault="009D1ED8" w:rsidP="009D1ED8">
      <w:pPr>
        <w:ind w:firstLine="540"/>
        <w:jc w:val="both"/>
        <w:rPr>
          <w:i/>
        </w:rPr>
      </w:pPr>
      <w:r w:rsidRPr="00173165">
        <w:rPr>
          <w:i/>
        </w:rPr>
        <w:t xml:space="preserve">- приобретенные основные средства приняты на бюджетный учет и списаны, как материальные запасы в сумме </w:t>
      </w:r>
      <w:r w:rsidR="0087468E" w:rsidRPr="00173165">
        <w:rPr>
          <w:i/>
        </w:rPr>
        <w:t>4,8</w:t>
      </w:r>
      <w:r w:rsidR="00580278" w:rsidRPr="00173165">
        <w:rPr>
          <w:i/>
        </w:rPr>
        <w:t xml:space="preserve"> тыс.</w:t>
      </w:r>
      <w:r w:rsidR="007F54C4" w:rsidRPr="00173165">
        <w:rPr>
          <w:i/>
        </w:rPr>
        <w:t xml:space="preserve"> руб.</w:t>
      </w:r>
    </w:p>
    <w:p w:rsidR="00FD2BE8" w:rsidRPr="00173165" w:rsidRDefault="004A5D15" w:rsidP="009D1ED8">
      <w:pPr>
        <w:ind w:firstLine="540"/>
        <w:jc w:val="both"/>
        <w:rPr>
          <w:i/>
        </w:rPr>
      </w:pPr>
      <w:r w:rsidRPr="00173165">
        <w:t>В проверяемом периоде имел место факт необоснованного использования средств бюджета муниципального образования «Город Адыгейск», связанный с уплатой пени за несвоевременное перечисление налогов, оплаты за электроэнергию, административные штрафы</w:t>
      </w:r>
      <w:r w:rsidRPr="00173165">
        <w:rPr>
          <w:i/>
        </w:rPr>
        <w:t>.</w:t>
      </w:r>
    </w:p>
    <w:p w:rsidR="009D1ED8" w:rsidRPr="00173165" w:rsidRDefault="004A5D15" w:rsidP="009D1ED8">
      <w:pPr>
        <w:ind w:firstLine="540"/>
        <w:jc w:val="both"/>
        <w:rPr>
          <w:i/>
        </w:rPr>
      </w:pPr>
      <w:r w:rsidRPr="00173165">
        <w:rPr>
          <w:i/>
          <w:color w:val="FF0000"/>
        </w:rPr>
        <w:t xml:space="preserve"> </w:t>
      </w:r>
      <w:r w:rsidR="009D1ED8" w:rsidRPr="00173165">
        <w:rPr>
          <w:i/>
        </w:rPr>
        <w:t>В нарушение принципа эффективности, установленного статьей 34 Бюджетного кодекса Российской Федерации допущено неэффективное расходование бюджетных средств в сумме</w:t>
      </w:r>
      <w:r w:rsidR="0087468E" w:rsidRPr="00173165">
        <w:rPr>
          <w:i/>
        </w:rPr>
        <w:t xml:space="preserve"> 46,8 </w:t>
      </w:r>
      <w:r w:rsidR="009D1ED8" w:rsidRPr="00173165">
        <w:rPr>
          <w:i/>
        </w:rPr>
        <w:t>тыс. руб., из них:</w:t>
      </w:r>
    </w:p>
    <w:p w:rsidR="009D1ED8" w:rsidRPr="00173165" w:rsidRDefault="009D1ED8" w:rsidP="009D1ED8">
      <w:pPr>
        <w:ind w:firstLine="540"/>
        <w:jc w:val="both"/>
        <w:rPr>
          <w:i/>
        </w:rPr>
      </w:pPr>
      <w:r w:rsidRPr="00173165">
        <w:rPr>
          <w:i/>
        </w:rPr>
        <w:t xml:space="preserve">- </w:t>
      </w:r>
      <w:r w:rsidR="00180B06" w:rsidRPr="00173165">
        <w:rPr>
          <w:i/>
        </w:rPr>
        <w:t>штрафы административные</w:t>
      </w:r>
      <w:r w:rsidRPr="00173165">
        <w:rPr>
          <w:i/>
        </w:rPr>
        <w:t xml:space="preserve"> – </w:t>
      </w:r>
      <w:r w:rsidR="0087468E" w:rsidRPr="00173165">
        <w:rPr>
          <w:i/>
        </w:rPr>
        <w:t>20</w:t>
      </w:r>
      <w:r w:rsidRPr="00173165">
        <w:rPr>
          <w:i/>
        </w:rPr>
        <w:t>,0 тыс. руб.;</w:t>
      </w:r>
    </w:p>
    <w:p w:rsidR="009D1ED8" w:rsidRPr="00173165" w:rsidRDefault="009D1ED8" w:rsidP="009D1ED8">
      <w:pPr>
        <w:ind w:firstLine="540"/>
        <w:jc w:val="both"/>
        <w:rPr>
          <w:i/>
        </w:rPr>
      </w:pPr>
      <w:r w:rsidRPr="00173165">
        <w:rPr>
          <w:i/>
        </w:rPr>
        <w:t xml:space="preserve">- пени – </w:t>
      </w:r>
      <w:r w:rsidR="0087468E" w:rsidRPr="00173165">
        <w:rPr>
          <w:i/>
        </w:rPr>
        <w:t>13,1</w:t>
      </w:r>
      <w:r w:rsidRPr="00173165">
        <w:rPr>
          <w:i/>
        </w:rPr>
        <w:t xml:space="preserve"> тыс. руб.</w:t>
      </w:r>
    </w:p>
    <w:p w:rsidR="0087468E" w:rsidRPr="00173165" w:rsidRDefault="0087468E" w:rsidP="009D1ED8">
      <w:pPr>
        <w:ind w:firstLine="540"/>
        <w:jc w:val="both"/>
        <w:rPr>
          <w:i/>
        </w:rPr>
      </w:pPr>
      <w:r w:rsidRPr="00173165">
        <w:rPr>
          <w:i/>
        </w:rPr>
        <w:t>- неустойки – 13,7 тыс. руб.</w:t>
      </w:r>
    </w:p>
    <w:p w:rsidR="00E76271" w:rsidRPr="00173165" w:rsidRDefault="00E76271" w:rsidP="00E76271">
      <w:pPr>
        <w:ind w:firstLine="540"/>
        <w:jc w:val="both"/>
        <w:rPr>
          <w:i/>
        </w:rPr>
      </w:pPr>
      <w:r w:rsidRPr="00173165">
        <w:rPr>
          <w:i/>
        </w:rPr>
        <w:lastRenderedPageBreak/>
        <w:t>В нарушение приказа Министерства финансов Российской Федерации от 01.07.2013 года № 65н «Об утверждении Указаний о порядке применения бюджетной классификации Российской Федерации» Управлением осуществлено не правильное применение КОСГУ при проведении хозяйственных операций на общую сумму 219,7 тыс. руб., в том числе:</w:t>
      </w:r>
    </w:p>
    <w:p w:rsidR="0087468E" w:rsidRPr="00173165" w:rsidRDefault="00E76271" w:rsidP="00C5117E">
      <w:pPr>
        <w:ind w:firstLine="540"/>
        <w:jc w:val="both"/>
        <w:outlineLvl w:val="0"/>
        <w:rPr>
          <w:i/>
        </w:rPr>
      </w:pPr>
      <w:r w:rsidRPr="00173165">
        <w:rPr>
          <w:bCs/>
        </w:rPr>
        <w:t>1</w:t>
      </w:r>
      <w:r w:rsidR="0087468E" w:rsidRPr="00173165">
        <w:rPr>
          <w:bCs/>
        </w:rPr>
        <w:t xml:space="preserve">. По заявке на кассовый расход произведены расходы по </w:t>
      </w:r>
      <w:r w:rsidR="0087468E" w:rsidRPr="00173165">
        <w:t>КОСГУ</w:t>
      </w:r>
      <w:r w:rsidR="0087468E" w:rsidRPr="00173165">
        <w:rPr>
          <w:bCs/>
        </w:rPr>
        <w:t xml:space="preserve"> 226 «Прочие расходы» на сумму – </w:t>
      </w:r>
      <w:r w:rsidR="00897FD4" w:rsidRPr="00173165">
        <w:rPr>
          <w:bCs/>
        </w:rPr>
        <w:t>219,7</w:t>
      </w:r>
      <w:r w:rsidR="0087468E" w:rsidRPr="00173165">
        <w:rPr>
          <w:bCs/>
        </w:rPr>
        <w:t xml:space="preserve"> тыс.</w:t>
      </w:r>
      <w:r w:rsidR="002607B7" w:rsidRPr="00173165">
        <w:rPr>
          <w:bCs/>
        </w:rPr>
        <w:t xml:space="preserve"> </w:t>
      </w:r>
      <w:r w:rsidR="0087468E" w:rsidRPr="00173165">
        <w:rPr>
          <w:bCs/>
        </w:rPr>
        <w:t xml:space="preserve">руб. на ремонт </w:t>
      </w:r>
      <w:r w:rsidR="00985CED" w:rsidRPr="00173165">
        <w:rPr>
          <w:bCs/>
        </w:rPr>
        <w:t>крыши</w:t>
      </w:r>
      <w:r w:rsidR="0087468E" w:rsidRPr="00173165">
        <w:rPr>
          <w:bCs/>
        </w:rPr>
        <w:t xml:space="preserve"> в МБОУ </w:t>
      </w:r>
      <w:r w:rsidR="00897FD4" w:rsidRPr="00173165">
        <w:rPr>
          <w:bCs/>
        </w:rPr>
        <w:t>«СОШ №</w:t>
      </w:r>
      <w:r w:rsidR="00FD2BE8" w:rsidRPr="00173165">
        <w:rPr>
          <w:bCs/>
        </w:rPr>
        <w:t xml:space="preserve"> 2</w:t>
      </w:r>
      <w:r w:rsidR="0087468E" w:rsidRPr="00173165">
        <w:rPr>
          <w:bCs/>
        </w:rPr>
        <w:t xml:space="preserve">» расходы по которому должны быть произведены по </w:t>
      </w:r>
      <w:r w:rsidR="0087468E" w:rsidRPr="00173165">
        <w:t>КОСГУ</w:t>
      </w:r>
      <w:r w:rsidR="0087468E" w:rsidRPr="00173165">
        <w:rPr>
          <w:bCs/>
        </w:rPr>
        <w:t xml:space="preserve"> 225 «Работы, услуги по содержанию имущества».</w:t>
      </w:r>
    </w:p>
    <w:p w:rsidR="008F3B4C" w:rsidRPr="00173165" w:rsidRDefault="00C11439" w:rsidP="00B367C5">
      <w:pPr>
        <w:ind w:firstLine="540"/>
        <w:jc w:val="both"/>
      </w:pPr>
      <w:r w:rsidRPr="00173165">
        <w:t xml:space="preserve">Общеобразовательными учреждениями УО по </w:t>
      </w:r>
      <w:r w:rsidR="00F53E07" w:rsidRPr="00173165">
        <w:t>а</w:t>
      </w:r>
      <w:r w:rsidRPr="00173165">
        <w:t>кту списания</w:t>
      </w:r>
      <w:r w:rsidR="008F3B4C" w:rsidRPr="00173165">
        <w:t xml:space="preserve"> материальных запасов списаны основные средства в МБУ ДОУ № 3 на сумму 40,5 тыс. руб., в том числе:</w:t>
      </w:r>
    </w:p>
    <w:p w:rsidR="008F3B4C" w:rsidRPr="00173165" w:rsidRDefault="008F3B4C" w:rsidP="00B367C5">
      <w:pPr>
        <w:ind w:firstLine="540"/>
        <w:jc w:val="both"/>
      </w:pPr>
      <w:r w:rsidRPr="00173165">
        <w:t xml:space="preserve">- огнетушители – 12 шт. на сумму 7,8 тыс. </w:t>
      </w:r>
      <w:proofErr w:type="spellStart"/>
      <w:r w:rsidRPr="00173165">
        <w:t>руб</w:t>
      </w:r>
      <w:proofErr w:type="spellEnd"/>
      <w:r w:rsidRPr="00173165">
        <w:t>;</w:t>
      </w:r>
    </w:p>
    <w:p w:rsidR="008F3B4C" w:rsidRPr="00173165" w:rsidRDefault="008F3B4C" w:rsidP="00B367C5">
      <w:pPr>
        <w:ind w:firstLine="540"/>
        <w:jc w:val="both"/>
      </w:pPr>
      <w:r w:rsidRPr="00173165">
        <w:t>- косилка – 1 шт. на сумму 6,5 тыс. руб.;</w:t>
      </w:r>
    </w:p>
    <w:p w:rsidR="008F3B4C" w:rsidRPr="00173165" w:rsidRDefault="008F3B4C" w:rsidP="00B367C5">
      <w:pPr>
        <w:ind w:firstLine="540"/>
        <w:jc w:val="both"/>
      </w:pPr>
      <w:r w:rsidRPr="00173165">
        <w:t xml:space="preserve">- видеокамера – 1 шт. на сумму </w:t>
      </w:r>
      <w:r w:rsidR="007F11F8" w:rsidRPr="00173165">
        <w:t>4,1 тыс. руб.;</w:t>
      </w:r>
    </w:p>
    <w:p w:rsidR="007F11F8" w:rsidRPr="00173165" w:rsidRDefault="007F11F8" w:rsidP="00B367C5">
      <w:pPr>
        <w:ind w:firstLine="540"/>
        <w:jc w:val="both"/>
      </w:pPr>
      <w:r w:rsidRPr="00173165">
        <w:t xml:space="preserve">- видеокамера – 1 шт. на сумму 11,4 тыс. руб.; </w:t>
      </w:r>
    </w:p>
    <w:p w:rsidR="007F11F8" w:rsidRPr="00173165" w:rsidRDefault="007F11F8" w:rsidP="00B367C5">
      <w:pPr>
        <w:ind w:firstLine="540"/>
        <w:jc w:val="both"/>
      </w:pPr>
      <w:r w:rsidRPr="00173165">
        <w:t>- видеорегистратор -1 шт. на сумму 10,7 тыс. руб.</w:t>
      </w:r>
    </w:p>
    <w:p w:rsidR="007F11F8" w:rsidRPr="00173165" w:rsidRDefault="007F11F8" w:rsidP="00B367C5">
      <w:pPr>
        <w:ind w:firstLine="540"/>
        <w:jc w:val="both"/>
        <w:rPr>
          <w:i/>
        </w:rPr>
      </w:pPr>
      <w:r w:rsidRPr="00173165">
        <w:rPr>
          <w:bCs/>
          <w:i/>
        </w:rPr>
        <w:t xml:space="preserve">Таким образом,  в  нарушение   </w:t>
      </w:r>
      <w:hyperlink r:id="rId11" w:history="1">
        <w:r w:rsidRPr="00173165">
          <w:rPr>
            <w:i/>
            <w:iCs/>
          </w:rPr>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173165">
        <w:rPr>
          <w:bCs/>
          <w:i/>
        </w:rPr>
        <w:t>,</w:t>
      </w:r>
      <w:r w:rsidRPr="00173165">
        <w:rPr>
          <w:b/>
          <w:bCs/>
          <w:i/>
        </w:rPr>
        <w:t xml:space="preserve"> </w:t>
      </w:r>
      <w:r w:rsidRPr="00173165">
        <w:rPr>
          <w:bCs/>
          <w:i/>
        </w:rPr>
        <w:t xml:space="preserve">Приказа Министерства финансов РФ от 16.12.2010г. №174н «Об утверждении Плана счетов бухгалтерского учета бюджетных учреждений и Инструкции по его применению", Стандарта </w:t>
      </w:r>
      <w:r w:rsidRPr="00173165">
        <w:rPr>
          <w:i/>
        </w:rPr>
        <w:t>ОС № 257н списаны актами материальных запасов основные средства в сумме 40,5 тыс. руб.</w:t>
      </w:r>
    </w:p>
    <w:p w:rsidR="007F11F8" w:rsidRPr="00173165" w:rsidRDefault="007F11F8" w:rsidP="00B367C5">
      <w:pPr>
        <w:ind w:firstLine="540"/>
        <w:jc w:val="both"/>
      </w:pPr>
      <w:r w:rsidRPr="00173165">
        <w:t>Общеобразовательными учреждениями УО по акту списания основных средств</w:t>
      </w:r>
      <w:r w:rsidR="00C5117E" w:rsidRPr="00173165">
        <w:t xml:space="preserve"> списаны основные средства на общую сумму 333,5 тыс. руб., в том числе;</w:t>
      </w:r>
    </w:p>
    <w:p w:rsidR="00C5117E" w:rsidRPr="00173165" w:rsidRDefault="00C5117E" w:rsidP="00B367C5">
      <w:pPr>
        <w:ind w:firstLine="540"/>
        <w:jc w:val="both"/>
      </w:pPr>
      <w:r w:rsidRPr="00173165">
        <w:t>- МБОУ ДО ЦДО «ЮТА» - без приказа руководителя списана техника на сумму 107,8 тыс. руб.4</w:t>
      </w:r>
    </w:p>
    <w:p w:rsidR="00C5117E" w:rsidRPr="00173165" w:rsidRDefault="00C5117E" w:rsidP="00B367C5">
      <w:pPr>
        <w:ind w:firstLine="540"/>
        <w:jc w:val="both"/>
      </w:pPr>
      <w:r w:rsidRPr="00173165">
        <w:t xml:space="preserve">- МБОУ ДО ЦДО «ЮТА» - без распоряжения Главы МО «Город Адыгейск» списана офисная </w:t>
      </w:r>
      <w:r w:rsidR="00F24409" w:rsidRPr="00173165">
        <w:t>м</w:t>
      </w:r>
      <w:r w:rsidRPr="00173165">
        <w:t>ебель на сумму 160,9 тыс. руб.</w:t>
      </w:r>
    </w:p>
    <w:p w:rsidR="00C5117E" w:rsidRPr="00173165" w:rsidRDefault="00C5117E" w:rsidP="00B367C5">
      <w:pPr>
        <w:ind w:firstLine="540"/>
        <w:jc w:val="both"/>
        <w:rPr>
          <w:i/>
          <w:color w:val="00B0F0"/>
        </w:rPr>
      </w:pPr>
      <w:r w:rsidRPr="00173165">
        <w:t xml:space="preserve">- МБУ ДОУ № 5 – без приказа руководителя списаны: мебель, песочница и пожарная лестница на общую сумму 64,7 тыс. руб. </w:t>
      </w:r>
    </w:p>
    <w:p w:rsidR="007F11F8" w:rsidRPr="00173165" w:rsidRDefault="00C5117E" w:rsidP="00B367C5">
      <w:pPr>
        <w:ind w:firstLine="540"/>
        <w:jc w:val="both"/>
      </w:pPr>
      <w:r w:rsidRPr="00173165">
        <w:rPr>
          <w:i/>
        </w:rPr>
        <w:t>Таким образом,</w:t>
      </w:r>
      <w:r w:rsidR="00D7279B" w:rsidRPr="00173165">
        <w:rPr>
          <w:bCs/>
          <w:i/>
        </w:rPr>
        <w:t xml:space="preserve"> В нарушение пунктов 7.4.2, 7.4.3 Положения № 325 от 28.12.2005г «О порядке владения, управления и распоряжения муниципальной собственностью МО «Город Адыгейск» без приказа Главы МО «Город Адыгейск», без приказа руководителя были списаны основные средства в сумме 333,5 тыс. руб.</w:t>
      </w:r>
    </w:p>
    <w:p w:rsidR="00E73AD4" w:rsidRPr="00173165" w:rsidRDefault="00C11439" w:rsidP="00B367C5">
      <w:pPr>
        <w:ind w:firstLine="540"/>
        <w:jc w:val="both"/>
      </w:pPr>
      <w:r w:rsidRPr="00173165">
        <w:t xml:space="preserve"> </w:t>
      </w:r>
      <w:r w:rsidR="00F41501" w:rsidRPr="00173165">
        <w:t xml:space="preserve">Муниципальными общеобразовательными учреждениями УО </w:t>
      </w:r>
      <w:r w:rsidR="00D819C2" w:rsidRPr="00173165">
        <w:t>(</w:t>
      </w:r>
      <w:r w:rsidR="00E73AD4" w:rsidRPr="00173165">
        <w:t xml:space="preserve">МБОУ «СОШ № 1, МБОУ «СОШ № 2 им. Х.Я. </w:t>
      </w:r>
      <w:proofErr w:type="spellStart"/>
      <w:r w:rsidR="00E73AD4" w:rsidRPr="00173165">
        <w:t>Беретаря</w:t>
      </w:r>
      <w:proofErr w:type="spellEnd"/>
      <w:r w:rsidR="00E73AD4" w:rsidRPr="00173165">
        <w:t xml:space="preserve">», МБОУ «СОШ № 3 им. Ю.И. </w:t>
      </w:r>
      <w:proofErr w:type="spellStart"/>
      <w:r w:rsidR="00E73AD4" w:rsidRPr="00173165">
        <w:t>Тлюстена</w:t>
      </w:r>
      <w:proofErr w:type="spellEnd"/>
      <w:r w:rsidR="00E73AD4" w:rsidRPr="00173165">
        <w:t>»</w:t>
      </w:r>
      <w:r w:rsidR="00C95A38" w:rsidRPr="00173165">
        <w:t xml:space="preserve">, </w:t>
      </w:r>
      <w:r w:rsidR="00E73AD4" w:rsidRPr="00173165">
        <w:t xml:space="preserve">МБОУ «СОШ № 4 им. А.И. </w:t>
      </w:r>
      <w:proofErr w:type="spellStart"/>
      <w:r w:rsidR="00E73AD4" w:rsidRPr="00173165">
        <w:t>Хуаде</w:t>
      </w:r>
      <w:proofErr w:type="spellEnd"/>
      <w:r w:rsidR="00E73AD4" w:rsidRPr="00173165">
        <w:t>»</w:t>
      </w:r>
      <w:r w:rsidR="00D819C2" w:rsidRPr="00173165">
        <w:t>)</w:t>
      </w:r>
      <w:r w:rsidR="00C95A38" w:rsidRPr="00173165">
        <w:t xml:space="preserve"> (далее </w:t>
      </w:r>
      <w:r w:rsidR="003445BE" w:rsidRPr="00173165">
        <w:t>–</w:t>
      </w:r>
      <w:r w:rsidR="00C95A38" w:rsidRPr="00173165">
        <w:t xml:space="preserve"> </w:t>
      </w:r>
      <w:r w:rsidR="003445BE" w:rsidRPr="00173165">
        <w:t xml:space="preserve">Школы) </w:t>
      </w:r>
      <w:r w:rsidR="00C95A38" w:rsidRPr="00173165">
        <w:t>помещения школьных столовых и их оборудовани</w:t>
      </w:r>
      <w:r w:rsidR="00D819C2" w:rsidRPr="00173165">
        <w:t>е</w:t>
      </w:r>
      <w:r w:rsidR="00C95A38" w:rsidRPr="00173165">
        <w:t xml:space="preserve"> переданы в пользование предпринимателям в целях организации питания школьникам без заключения каких либо договоров</w:t>
      </w:r>
      <w:r w:rsidR="00C525C2" w:rsidRPr="00173165">
        <w:t xml:space="preserve"> и без согласия собственника (муниципальное образование «Город Адыгейск») </w:t>
      </w:r>
      <w:r w:rsidR="00516847" w:rsidRPr="00173165">
        <w:t>в нарушение</w:t>
      </w:r>
      <w:r w:rsidR="00C525C2" w:rsidRPr="00173165">
        <w:t xml:space="preserve"> пункта 1 статьи 296 Гражданского кодекса Российской Федерации, </w:t>
      </w:r>
      <w:r w:rsidR="00516847" w:rsidRPr="00173165">
        <w:t xml:space="preserve"> пункта 5.5 Уставов данных учреждений</w:t>
      </w:r>
      <w:r w:rsidR="00C95A38" w:rsidRPr="00173165">
        <w:t xml:space="preserve">. </w:t>
      </w:r>
      <w:r w:rsidR="00516847" w:rsidRPr="00173165">
        <w:t>З</w:t>
      </w:r>
      <w:r w:rsidR="00C95A38" w:rsidRPr="00173165">
        <w:t>атраты на содержание помещени</w:t>
      </w:r>
      <w:r w:rsidR="003445BE" w:rsidRPr="00173165">
        <w:t>й</w:t>
      </w:r>
      <w:r w:rsidR="00516847" w:rsidRPr="00173165">
        <w:t xml:space="preserve"> (коммунальные услуги)</w:t>
      </w:r>
      <w:r w:rsidR="003445BE" w:rsidRPr="00173165">
        <w:t xml:space="preserve"> Школы осуществляли за счет средств, выделенных из бюджета муниципального образования «Город Адыгейск»</w:t>
      </w:r>
      <w:r w:rsidR="00516847" w:rsidRPr="00173165">
        <w:t xml:space="preserve">. </w:t>
      </w:r>
      <w:r w:rsidR="003445BE" w:rsidRPr="00173165">
        <w:t xml:space="preserve"> </w:t>
      </w:r>
      <w:r w:rsidR="00516847" w:rsidRPr="00173165">
        <w:t xml:space="preserve">За проверяемый период составили </w:t>
      </w:r>
      <w:r w:rsidR="00A307CF" w:rsidRPr="00173165">
        <w:t>1197,8</w:t>
      </w:r>
      <w:r w:rsidR="00516847" w:rsidRPr="00173165">
        <w:t xml:space="preserve"> тыс. руб.</w:t>
      </w:r>
      <w:r w:rsidR="00D7502D" w:rsidRPr="00173165">
        <w:t xml:space="preserve"> </w:t>
      </w:r>
      <w:r w:rsidR="002F1633" w:rsidRPr="00173165">
        <w:rPr>
          <w:i/>
        </w:rPr>
        <w:t>Так</w:t>
      </w:r>
      <w:r w:rsidR="00D819C2" w:rsidRPr="00173165">
        <w:rPr>
          <w:i/>
        </w:rPr>
        <w:t xml:space="preserve">, в </w:t>
      </w:r>
      <w:r w:rsidR="002F1633" w:rsidRPr="00173165">
        <w:rPr>
          <w:i/>
        </w:rPr>
        <w:t>отсутстви</w:t>
      </w:r>
      <w:r w:rsidR="00D819C2" w:rsidRPr="00173165">
        <w:rPr>
          <w:i/>
        </w:rPr>
        <w:t>е</w:t>
      </w:r>
      <w:r w:rsidR="002F1633" w:rsidRPr="00173165">
        <w:rPr>
          <w:i/>
        </w:rPr>
        <w:t xml:space="preserve"> договоров</w:t>
      </w:r>
      <w:r w:rsidR="00B367C5" w:rsidRPr="00173165">
        <w:rPr>
          <w:i/>
        </w:rPr>
        <w:t xml:space="preserve"> арендная плата и расходы на коммунальные услуги школьных столовых составили </w:t>
      </w:r>
      <w:r w:rsidR="00A31E3C" w:rsidRPr="00173165">
        <w:rPr>
          <w:i/>
        </w:rPr>
        <w:t>1197,8</w:t>
      </w:r>
      <w:r w:rsidR="00B367C5" w:rsidRPr="00173165">
        <w:rPr>
          <w:i/>
        </w:rPr>
        <w:t xml:space="preserve"> тыс.</w:t>
      </w:r>
      <w:r w:rsidR="00B367C5" w:rsidRPr="00173165">
        <w:rPr>
          <w:i/>
          <w:color w:val="FF0000"/>
        </w:rPr>
        <w:t xml:space="preserve"> </w:t>
      </w:r>
      <w:r w:rsidR="00B367C5" w:rsidRPr="00173165">
        <w:rPr>
          <w:i/>
        </w:rPr>
        <w:t>руб.</w:t>
      </w:r>
    </w:p>
    <w:p w:rsidR="00B367C5" w:rsidRPr="00173165" w:rsidRDefault="00B367C5" w:rsidP="00B367C5">
      <w:pPr>
        <w:ind w:firstLine="540"/>
        <w:jc w:val="both"/>
      </w:pPr>
    </w:p>
    <w:p w:rsidR="00866D06" w:rsidRPr="00173165" w:rsidRDefault="00866D06" w:rsidP="00866D06">
      <w:pPr>
        <w:jc w:val="center"/>
        <w:rPr>
          <w:b/>
        </w:rPr>
      </w:pPr>
      <w:r w:rsidRPr="00173165">
        <w:rPr>
          <w:b/>
        </w:rPr>
        <w:t xml:space="preserve">3. Проверка формирования и исполнения муниципального задания </w:t>
      </w:r>
    </w:p>
    <w:p w:rsidR="00866D06" w:rsidRPr="00173165" w:rsidRDefault="00866D06" w:rsidP="00866D06">
      <w:pPr>
        <w:jc w:val="center"/>
        <w:rPr>
          <w:b/>
        </w:rPr>
      </w:pPr>
      <w:r w:rsidRPr="00173165">
        <w:rPr>
          <w:b/>
        </w:rPr>
        <w:t>за 202</w:t>
      </w:r>
      <w:r w:rsidR="00477E10" w:rsidRPr="00173165">
        <w:rPr>
          <w:b/>
        </w:rPr>
        <w:t>2</w:t>
      </w:r>
      <w:r w:rsidRPr="00173165">
        <w:rPr>
          <w:b/>
        </w:rPr>
        <w:t xml:space="preserve"> год.</w:t>
      </w:r>
    </w:p>
    <w:p w:rsidR="00147B1A" w:rsidRPr="00173165" w:rsidRDefault="00147B1A" w:rsidP="00866D06">
      <w:pPr>
        <w:jc w:val="center"/>
        <w:rPr>
          <w:b/>
        </w:rPr>
      </w:pPr>
    </w:p>
    <w:p w:rsidR="00197E40" w:rsidRPr="00173165" w:rsidRDefault="008378D7" w:rsidP="008378D7">
      <w:pPr>
        <w:pStyle w:val="aa"/>
        <w:spacing w:after="0" w:line="240" w:lineRule="auto"/>
        <w:jc w:val="both"/>
        <w:rPr>
          <w:rFonts w:ascii="Times New Roman" w:hAnsi="Times New Roman" w:cs="Times New Roman"/>
          <w:sz w:val="24"/>
          <w:szCs w:val="24"/>
        </w:rPr>
      </w:pPr>
      <w:r w:rsidRPr="00173165">
        <w:rPr>
          <w:rFonts w:ascii="Times New Roman" w:hAnsi="Times New Roman" w:cs="Times New Roman"/>
          <w:sz w:val="24"/>
          <w:szCs w:val="24"/>
        </w:rPr>
        <w:lastRenderedPageBreak/>
        <w:tab/>
        <w:t>В соответствии с частью 3 и 4 статьи 69.2 БК РФ, постановлением администрации муниципального образования «Город Адыгейск» от 02.11.2015 г. № 266 «О Порядке формирования муниципального задания на оказание муниципальных услуг (выполнение работ) муниципальными учреждениями муниципального образования «Город Адыгейск» и финансового обеспечения выполнения муниципального задания на оказание муниципальных услуг (выполнение работ)»</w:t>
      </w:r>
      <w:r w:rsidR="00A92438" w:rsidRPr="00173165">
        <w:rPr>
          <w:rFonts w:ascii="Times New Roman" w:hAnsi="Times New Roman" w:cs="Times New Roman"/>
          <w:sz w:val="24"/>
          <w:szCs w:val="24"/>
        </w:rPr>
        <w:t xml:space="preserve"> </w:t>
      </w:r>
      <w:r w:rsidRPr="00173165">
        <w:rPr>
          <w:rFonts w:ascii="Times New Roman" w:hAnsi="Times New Roman" w:cs="Times New Roman"/>
          <w:sz w:val="24"/>
          <w:szCs w:val="24"/>
        </w:rPr>
        <w:t>утвержден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«Город Адыгейск» и финансового обеспечения выполнения муниципального задания на оказание муниципальных услуг (выполнение работ)</w:t>
      </w:r>
      <w:r w:rsidR="00A92438" w:rsidRPr="00173165">
        <w:rPr>
          <w:rFonts w:ascii="Times New Roman" w:hAnsi="Times New Roman" w:cs="Times New Roman"/>
          <w:sz w:val="24"/>
          <w:szCs w:val="24"/>
        </w:rPr>
        <w:t xml:space="preserve"> (далее – Порядок формирования муниципального задания)</w:t>
      </w:r>
      <w:r w:rsidR="003A2105" w:rsidRPr="00173165">
        <w:rPr>
          <w:rFonts w:ascii="Times New Roman" w:hAnsi="Times New Roman" w:cs="Times New Roman"/>
          <w:sz w:val="24"/>
          <w:szCs w:val="24"/>
        </w:rPr>
        <w:t>.</w:t>
      </w:r>
    </w:p>
    <w:p w:rsidR="008378D7" w:rsidRPr="00173165" w:rsidRDefault="008378D7" w:rsidP="008378D7">
      <w:pPr>
        <w:autoSpaceDE w:val="0"/>
        <w:autoSpaceDN w:val="0"/>
        <w:adjustRightInd w:val="0"/>
        <w:ind w:firstLine="567"/>
        <w:jc w:val="both"/>
        <w:rPr>
          <w:bCs/>
        </w:rPr>
      </w:pPr>
      <w:r w:rsidRPr="00173165">
        <w:tab/>
      </w:r>
      <w:r w:rsidRPr="00173165">
        <w:rPr>
          <w:bCs/>
        </w:rPr>
        <w:t xml:space="preserve">Порядком </w:t>
      </w:r>
      <w:r w:rsidRPr="00173165">
        <w:t>формирования муниципального задания</w:t>
      </w:r>
      <w:r w:rsidRPr="00173165">
        <w:rPr>
          <w:bCs/>
        </w:rPr>
        <w:t xml:space="preserve"> предусмотрены:</w:t>
      </w:r>
    </w:p>
    <w:p w:rsidR="008378D7" w:rsidRPr="00173165" w:rsidRDefault="008378D7" w:rsidP="008378D7">
      <w:pPr>
        <w:autoSpaceDE w:val="0"/>
        <w:autoSpaceDN w:val="0"/>
        <w:adjustRightInd w:val="0"/>
        <w:ind w:firstLine="567"/>
        <w:jc w:val="both"/>
        <w:rPr>
          <w:bCs/>
        </w:rPr>
      </w:pPr>
      <w:r w:rsidRPr="00173165">
        <w:rPr>
          <w:bCs/>
        </w:rPr>
        <w:t>- форма муниципального задания (приложение 1 к Порядку формирования муниципального задания);</w:t>
      </w:r>
    </w:p>
    <w:p w:rsidR="008378D7" w:rsidRPr="00173165" w:rsidRDefault="008378D7" w:rsidP="008378D7">
      <w:pPr>
        <w:autoSpaceDE w:val="0"/>
        <w:autoSpaceDN w:val="0"/>
        <w:adjustRightInd w:val="0"/>
        <w:ind w:firstLine="567"/>
        <w:jc w:val="both"/>
        <w:rPr>
          <w:bCs/>
        </w:rPr>
      </w:pPr>
      <w:r w:rsidRPr="00173165">
        <w:rPr>
          <w:bCs/>
        </w:rPr>
        <w:t>- форма отчета о выполнении муниципальных заданий (приложение 2 к Порядку формирования муниципального задания).</w:t>
      </w:r>
    </w:p>
    <w:p w:rsidR="00B32991" w:rsidRPr="00173165" w:rsidRDefault="00A92438" w:rsidP="008378D7">
      <w:pPr>
        <w:pStyle w:val="aa"/>
        <w:spacing w:after="0" w:line="240" w:lineRule="auto"/>
        <w:jc w:val="both"/>
        <w:rPr>
          <w:rFonts w:ascii="Times New Roman" w:hAnsi="Times New Roman" w:cs="Times New Roman"/>
          <w:sz w:val="24"/>
          <w:szCs w:val="24"/>
        </w:rPr>
      </w:pPr>
      <w:r w:rsidRPr="00173165">
        <w:rPr>
          <w:rFonts w:ascii="Times New Roman" w:hAnsi="Times New Roman" w:cs="Times New Roman"/>
          <w:sz w:val="24"/>
          <w:szCs w:val="24"/>
        </w:rPr>
        <w:tab/>
        <w:t>Муниципальные задания по учреждениям УО на 202</w:t>
      </w:r>
      <w:r w:rsidR="00180B06" w:rsidRPr="00173165">
        <w:rPr>
          <w:rFonts w:ascii="Times New Roman" w:hAnsi="Times New Roman" w:cs="Times New Roman"/>
          <w:sz w:val="24"/>
          <w:szCs w:val="24"/>
        </w:rPr>
        <w:t>2</w:t>
      </w:r>
      <w:r w:rsidRPr="00173165">
        <w:rPr>
          <w:rFonts w:ascii="Times New Roman" w:hAnsi="Times New Roman" w:cs="Times New Roman"/>
          <w:sz w:val="24"/>
          <w:szCs w:val="24"/>
        </w:rPr>
        <w:t xml:space="preserve"> год и плановый период 202</w:t>
      </w:r>
      <w:r w:rsidR="00180B06" w:rsidRPr="00173165">
        <w:rPr>
          <w:rFonts w:ascii="Times New Roman" w:hAnsi="Times New Roman" w:cs="Times New Roman"/>
          <w:sz w:val="24"/>
          <w:szCs w:val="24"/>
        </w:rPr>
        <w:t>3</w:t>
      </w:r>
      <w:r w:rsidRPr="00173165">
        <w:rPr>
          <w:rFonts w:ascii="Times New Roman" w:hAnsi="Times New Roman" w:cs="Times New Roman"/>
          <w:sz w:val="24"/>
          <w:szCs w:val="24"/>
        </w:rPr>
        <w:t xml:space="preserve"> и 202</w:t>
      </w:r>
      <w:r w:rsidR="00180B06" w:rsidRPr="00173165">
        <w:rPr>
          <w:rFonts w:ascii="Times New Roman" w:hAnsi="Times New Roman" w:cs="Times New Roman"/>
          <w:sz w:val="24"/>
          <w:szCs w:val="24"/>
        </w:rPr>
        <w:t>4</w:t>
      </w:r>
      <w:r w:rsidRPr="00173165">
        <w:rPr>
          <w:rFonts w:ascii="Times New Roman" w:hAnsi="Times New Roman" w:cs="Times New Roman"/>
          <w:sz w:val="24"/>
          <w:szCs w:val="24"/>
        </w:rPr>
        <w:t xml:space="preserve"> годов утверждены </w:t>
      </w:r>
      <w:r w:rsidR="006521CE" w:rsidRPr="00173165">
        <w:rPr>
          <w:rFonts w:ascii="Times New Roman" w:hAnsi="Times New Roman" w:cs="Times New Roman"/>
          <w:sz w:val="24"/>
          <w:szCs w:val="24"/>
        </w:rPr>
        <w:t>в сроки</w:t>
      </w:r>
      <w:r w:rsidR="00136DF2" w:rsidRPr="00173165">
        <w:rPr>
          <w:rFonts w:ascii="Times New Roman" w:hAnsi="Times New Roman" w:cs="Times New Roman"/>
          <w:sz w:val="24"/>
          <w:szCs w:val="24"/>
        </w:rPr>
        <w:t xml:space="preserve">, </w:t>
      </w:r>
      <w:r w:rsidR="006521CE" w:rsidRPr="00173165">
        <w:rPr>
          <w:rFonts w:ascii="Times New Roman" w:hAnsi="Times New Roman" w:cs="Times New Roman"/>
          <w:sz w:val="24"/>
          <w:szCs w:val="24"/>
        </w:rPr>
        <w:t xml:space="preserve">регламентированные п.6 части </w:t>
      </w:r>
      <w:r w:rsidR="006521CE" w:rsidRPr="00173165">
        <w:rPr>
          <w:rFonts w:ascii="Times New Roman" w:hAnsi="Times New Roman" w:cs="Times New Roman"/>
          <w:sz w:val="24"/>
          <w:szCs w:val="24"/>
          <w:lang w:val="en-US"/>
        </w:rPr>
        <w:t>II</w:t>
      </w:r>
      <w:r w:rsidR="006521CE" w:rsidRPr="00173165">
        <w:rPr>
          <w:rFonts w:ascii="Times New Roman" w:hAnsi="Times New Roman" w:cs="Times New Roman"/>
          <w:sz w:val="24"/>
          <w:szCs w:val="24"/>
        </w:rPr>
        <w:t xml:space="preserve"> </w:t>
      </w:r>
      <w:r w:rsidR="006521CE" w:rsidRPr="00173165">
        <w:rPr>
          <w:rFonts w:ascii="Times New Roman" w:hAnsi="Times New Roman" w:cs="Times New Roman"/>
          <w:bCs/>
          <w:sz w:val="24"/>
          <w:szCs w:val="24"/>
        </w:rPr>
        <w:t>Порядка формирования муниципального задания</w:t>
      </w:r>
      <w:r w:rsidRPr="00173165">
        <w:rPr>
          <w:rFonts w:ascii="Times New Roman" w:hAnsi="Times New Roman" w:cs="Times New Roman"/>
          <w:sz w:val="24"/>
          <w:szCs w:val="24"/>
        </w:rPr>
        <w:t>.</w:t>
      </w:r>
    </w:p>
    <w:p w:rsidR="00A92438" w:rsidRPr="00173165" w:rsidRDefault="00A92438" w:rsidP="008378D7">
      <w:pPr>
        <w:pStyle w:val="aa"/>
        <w:spacing w:after="0" w:line="240" w:lineRule="auto"/>
        <w:jc w:val="both"/>
        <w:rPr>
          <w:rFonts w:ascii="Times New Roman" w:hAnsi="Times New Roman" w:cs="Times New Roman"/>
          <w:sz w:val="24"/>
          <w:szCs w:val="24"/>
        </w:rPr>
      </w:pPr>
      <w:bookmarkStart w:id="0" w:name="_GoBack"/>
      <w:bookmarkEnd w:id="0"/>
      <w:r w:rsidRPr="00173165">
        <w:rPr>
          <w:rFonts w:ascii="Times New Roman" w:eastAsia="Times New Roman" w:hAnsi="Times New Roman" w:cs="Times New Roman"/>
          <w:bCs/>
          <w:kern w:val="0"/>
          <w:sz w:val="24"/>
          <w:szCs w:val="24"/>
          <w:lang w:eastAsia="ru-RU"/>
        </w:rPr>
        <w:tab/>
        <w:t>Муниципальные задания по учреждениям УО на 202</w:t>
      </w:r>
      <w:r w:rsidR="00A828AF" w:rsidRPr="00173165">
        <w:rPr>
          <w:rFonts w:ascii="Times New Roman" w:eastAsia="Times New Roman" w:hAnsi="Times New Roman" w:cs="Times New Roman"/>
          <w:bCs/>
          <w:kern w:val="0"/>
          <w:sz w:val="24"/>
          <w:szCs w:val="24"/>
          <w:lang w:eastAsia="ru-RU"/>
        </w:rPr>
        <w:t>2</w:t>
      </w:r>
      <w:r w:rsidRPr="00173165">
        <w:rPr>
          <w:rFonts w:ascii="Times New Roman" w:eastAsia="Times New Roman" w:hAnsi="Times New Roman" w:cs="Times New Roman"/>
          <w:bCs/>
          <w:kern w:val="0"/>
          <w:sz w:val="24"/>
          <w:szCs w:val="24"/>
          <w:lang w:eastAsia="ru-RU"/>
        </w:rPr>
        <w:t xml:space="preserve"> год сформированы в соответствии с Порядком формирования муниципального задания. Нарушений не выявлено.</w:t>
      </w:r>
    </w:p>
    <w:p w:rsidR="00486936" w:rsidRPr="00173165" w:rsidRDefault="00486936" w:rsidP="00486936">
      <w:pPr>
        <w:autoSpaceDE w:val="0"/>
        <w:autoSpaceDN w:val="0"/>
        <w:adjustRightInd w:val="0"/>
        <w:ind w:firstLine="567"/>
        <w:jc w:val="both"/>
      </w:pPr>
      <w:r w:rsidRPr="00173165">
        <w:t xml:space="preserve">Пунктом 12 части </w:t>
      </w:r>
      <w:r w:rsidRPr="00173165">
        <w:rPr>
          <w:lang w:val="en-US"/>
        </w:rPr>
        <w:t>III</w:t>
      </w:r>
      <w:r w:rsidRPr="00173165">
        <w:t xml:space="preserve"> </w:t>
      </w:r>
      <w:r w:rsidR="003A2105" w:rsidRPr="00173165">
        <w:t>Порядк</w:t>
      </w:r>
      <w:r w:rsidRPr="00173165">
        <w:t>а</w:t>
      </w:r>
      <w:r w:rsidR="003A2105" w:rsidRPr="00173165">
        <w:t xml:space="preserve"> формирования муниципального задания предусмотрена</w:t>
      </w:r>
      <w:r w:rsidRPr="00173165">
        <w:t xml:space="preserve"> </w:t>
      </w:r>
      <w:r w:rsidR="003A2105" w:rsidRPr="00173165">
        <w:t>форма отчета о выполнении муниципального задания (далее – Отчет)</w:t>
      </w:r>
      <w:r w:rsidRPr="00173165">
        <w:t>.</w:t>
      </w:r>
      <w:r w:rsidR="00532364" w:rsidRPr="00173165">
        <w:t xml:space="preserve"> По формам Отчетов по учреждениям УО нарушений не установлено.</w:t>
      </w:r>
    </w:p>
    <w:p w:rsidR="00B32991" w:rsidRPr="00173165" w:rsidRDefault="00F04BDE" w:rsidP="00486936">
      <w:pPr>
        <w:autoSpaceDE w:val="0"/>
        <w:autoSpaceDN w:val="0"/>
        <w:adjustRightInd w:val="0"/>
        <w:ind w:firstLine="567"/>
        <w:jc w:val="both"/>
      </w:pPr>
      <w:r w:rsidRPr="00173165">
        <w:t xml:space="preserve">Согласно муниципальным заданиям по учреждениям УО </w:t>
      </w:r>
      <w:r w:rsidR="00136DF2" w:rsidRPr="00173165">
        <w:t>д</w:t>
      </w:r>
      <w:r w:rsidRPr="00173165">
        <w:t>опустимые (возможные) отклонения от условных показателей качества муниципальной услуги, в пределах которых муниципальное задание считается выполненным, установлены по всем показателям в пределах 10%.</w:t>
      </w:r>
      <w:r w:rsidR="003A2105" w:rsidRPr="00173165">
        <w:t xml:space="preserve"> </w:t>
      </w:r>
    </w:p>
    <w:p w:rsidR="006A1183" w:rsidRPr="00173165" w:rsidRDefault="006A1183" w:rsidP="00486936">
      <w:pPr>
        <w:autoSpaceDE w:val="0"/>
        <w:autoSpaceDN w:val="0"/>
        <w:adjustRightInd w:val="0"/>
        <w:ind w:firstLine="567"/>
        <w:jc w:val="both"/>
      </w:pPr>
      <w:r w:rsidRPr="00173165">
        <w:t>Финансовое обеспечение выполнения муниципального задания осуществляется за счет средств республиканского местного бюджетов.</w:t>
      </w:r>
    </w:p>
    <w:p w:rsidR="006A1183" w:rsidRPr="00173165" w:rsidRDefault="006A1183" w:rsidP="00486936">
      <w:pPr>
        <w:autoSpaceDE w:val="0"/>
        <w:autoSpaceDN w:val="0"/>
        <w:adjustRightInd w:val="0"/>
        <w:ind w:firstLine="567"/>
        <w:jc w:val="both"/>
      </w:pPr>
      <w:r w:rsidRPr="00173165">
        <w:t>Предоставление учреждениям УО субсидии на финансовое обеспечение выполнения муниципального задания на оказание муниципальных услуг (выполнение работ) в течение финансового года</w:t>
      </w:r>
      <w:r w:rsidR="00136DF2" w:rsidRPr="00173165">
        <w:t xml:space="preserve"> осуществляется на основании </w:t>
      </w:r>
      <w:r w:rsidR="00F12B5A" w:rsidRPr="00173165">
        <w:t>С</w:t>
      </w:r>
      <w:r w:rsidR="00136DF2" w:rsidRPr="00173165">
        <w:t xml:space="preserve">оглашений о </w:t>
      </w:r>
      <w:r w:rsidR="00F12B5A" w:rsidRPr="00173165">
        <w:t xml:space="preserve">порядке и условиях предоставления субсидии на финансовое обеспечение выполнения </w:t>
      </w:r>
      <w:r w:rsidR="003C4D44" w:rsidRPr="00173165">
        <w:t>муниципального задания</w:t>
      </w:r>
      <w:r w:rsidR="00F12B5A" w:rsidRPr="00173165">
        <w:t xml:space="preserve"> на оказание муниципальных услуг (выполнение работ).  </w:t>
      </w:r>
    </w:p>
    <w:p w:rsidR="000B2EC3" w:rsidRPr="00173165" w:rsidRDefault="000B2EC3" w:rsidP="00486936">
      <w:pPr>
        <w:autoSpaceDE w:val="0"/>
        <w:autoSpaceDN w:val="0"/>
        <w:adjustRightInd w:val="0"/>
        <w:ind w:firstLine="567"/>
        <w:jc w:val="both"/>
      </w:pPr>
      <w:r w:rsidRPr="00173165">
        <w:t>Соглашения определяют права, обязанности и ответственность сторон, в том числе объем и периодичность перечисления субсидии в течение финансового года.</w:t>
      </w:r>
    </w:p>
    <w:p w:rsidR="000B2EC3" w:rsidRPr="00173165" w:rsidRDefault="000B2EC3" w:rsidP="00486936">
      <w:pPr>
        <w:autoSpaceDE w:val="0"/>
        <w:autoSpaceDN w:val="0"/>
        <w:adjustRightInd w:val="0"/>
        <w:ind w:firstLine="567"/>
        <w:jc w:val="both"/>
      </w:pPr>
      <w:r w:rsidRPr="00173165">
        <w:t>За 202</w:t>
      </w:r>
      <w:r w:rsidR="00180B06" w:rsidRPr="00173165">
        <w:t>2</w:t>
      </w:r>
      <w:r w:rsidRPr="00173165">
        <w:t xml:space="preserve"> год заключено соглашений по учреждениям УО на оказание муниципальных услуг</w:t>
      </w:r>
      <w:r w:rsidR="00FF6E7D" w:rsidRPr="00173165">
        <w:t xml:space="preserve"> (выполнение работ)</w:t>
      </w:r>
      <w:r w:rsidRPr="00173165">
        <w:t xml:space="preserve"> на сумму </w:t>
      </w:r>
      <w:r w:rsidR="00FC5907" w:rsidRPr="00173165">
        <w:t>221807,9</w:t>
      </w:r>
      <w:r w:rsidR="006A5771" w:rsidRPr="00173165">
        <w:t xml:space="preserve"> тыс. руб.</w:t>
      </w:r>
      <w:r w:rsidRPr="00173165">
        <w:t xml:space="preserve"> Согласно дополнительных соглашений</w:t>
      </w:r>
      <w:r w:rsidR="00FD2C97" w:rsidRPr="00173165">
        <w:t>,</w:t>
      </w:r>
      <w:r w:rsidRPr="00173165">
        <w:t xml:space="preserve"> </w:t>
      </w:r>
      <w:r w:rsidR="00FF6E7D" w:rsidRPr="00173165">
        <w:t xml:space="preserve">скорректирован размер субсидий на оказание муниципальных услуг (выполнение работ) в сумме </w:t>
      </w:r>
      <w:r w:rsidR="00FC5907" w:rsidRPr="00173165">
        <w:t>52239,9</w:t>
      </w:r>
      <w:r w:rsidR="00FF6E7D" w:rsidRPr="00173165">
        <w:t xml:space="preserve"> тыс. руб.</w:t>
      </w:r>
    </w:p>
    <w:p w:rsidR="00FD2C97" w:rsidRPr="00173165" w:rsidRDefault="00FD2C97" w:rsidP="00486936">
      <w:pPr>
        <w:autoSpaceDE w:val="0"/>
        <w:autoSpaceDN w:val="0"/>
        <w:adjustRightInd w:val="0"/>
        <w:ind w:firstLine="567"/>
        <w:jc w:val="both"/>
      </w:pPr>
      <w:r w:rsidRPr="00173165">
        <w:t>Выборочной проверкой своевременности предоставления средств субсидий на обеспечение выполнения муни</w:t>
      </w:r>
      <w:r w:rsidR="00532364" w:rsidRPr="00173165">
        <w:t>ципального задания на оказание муниципальных услуг нарушений не установлено.</w:t>
      </w:r>
    </w:p>
    <w:p w:rsidR="002251EE" w:rsidRPr="00173165" w:rsidRDefault="00180B06" w:rsidP="00180B06">
      <w:pPr>
        <w:jc w:val="both"/>
      </w:pPr>
      <w:r w:rsidRPr="00173165">
        <w:rPr>
          <w:rStyle w:val="a7"/>
          <w:i w:val="0"/>
        </w:rPr>
        <w:t xml:space="preserve">     </w:t>
      </w:r>
      <w:r w:rsidR="006C12BD" w:rsidRPr="00173165">
        <w:rPr>
          <w:rStyle w:val="a7"/>
          <w:i w:val="0"/>
        </w:rPr>
        <w:t xml:space="preserve">  </w:t>
      </w:r>
      <w:r w:rsidR="00864CF6" w:rsidRPr="00173165">
        <w:rPr>
          <w:rStyle w:val="a7"/>
          <w:i w:val="0"/>
        </w:rPr>
        <w:t xml:space="preserve">В соответствии с положениями ч. 5 ст. 160.2-1 БК РФ начиная с 01.01.2020г.  внутренний финансовый аудит (далее – ВФА) осуществляется в соответствии с федеральными стандартами внутреннего финансового аудита, установленными Минфином Российской Федерации. Главные администраторы бюджетных средств, администраторы бюджетных средств, осуществляющие ВФА, на основе таких стандартов должны будут издавать свои ведомственные (внутренние) акты, обеспечивающие осуществление внутреннего финансового аудита. </w:t>
      </w:r>
      <w:r w:rsidR="00864CF6" w:rsidRPr="00173165">
        <w:t xml:space="preserve">ВФА осуществляется структурными подразделениями </w:t>
      </w:r>
      <w:r w:rsidR="00864CF6" w:rsidRPr="00173165">
        <w:lastRenderedPageBreak/>
        <w:t xml:space="preserve">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субъекты ВФА). Настоящей проверкой установлено, что </w:t>
      </w:r>
      <w:r w:rsidR="00864CF6" w:rsidRPr="00173165">
        <w:rPr>
          <w:i/>
        </w:rPr>
        <w:t>требования статьи 160.2-1 Бюджетного кодекса Российской Федерации в УО</w:t>
      </w:r>
      <w:r w:rsidR="00FC38E2" w:rsidRPr="00173165">
        <w:rPr>
          <w:i/>
        </w:rPr>
        <w:t>,</w:t>
      </w:r>
      <w:r w:rsidR="00864CF6" w:rsidRPr="00173165">
        <w:rPr>
          <w:i/>
        </w:rPr>
        <w:t xml:space="preserve"> </w:t>
      </w:r>
      <w:r w:rsidR="00864CF6" w:rsidRPr="00173165">
        <w:rPr>
          <w:rStyle w:val="a7"/>
        </w:rPr>
        <w:t>обеспечивающие осуществление внутреннего финансового аудита</w:t>
      </w:r>
      <w:r w:rsidR="00864CF6" w:rsidRPr="00173165">
        <w:rPr>
          <w:i/>
        </w:rPr>
        <w:t xml:space="preserve"> в 202</w:t>
      </w:r>
      <w:r w:rsidRPr="00173165">
        <w:rPr>
          <w:i/>
        </w:rPr>
        <w:t>2</w:t>
      </w:r>
      <w:r w:rsidR="00864CF6" w:rsidRPr="00173165">
        <w:rPr>
          <w:i/>
        </w:rPr>
        <w:t xml:space="preserve"> году не выполнялись.  </w:t>
      </w:r>
    </w:p>
    <w:p w:rsidR="002251EE" w:rsidRPr="00173165" w:rsidRDefault="002251EE" w:rsidP="002251EE">
      <w:pPr>
        <w:ind w:firstLine="540"/>
        <w:jc w:val="both"/>
        <w:rPr>
          <w:shd w:val="clear" w:color="auto" w:fill="FFFFFF"/>
        </w:rPr>
      </w:pPr>
      <w:r w:rsidRPr="00173165">
        <w:rPr>
          <w:shd w:val="clear" w:color="auto" w:fill="FFFFFF"/>
        </w:rPr>
        <w:t>В 2022 году Управлением образовани</w:t>
      </w:r>
      <w:r w:rsidR="00316CA3" w:rsidRPr="00173165">
        <w:rPr>
          <w:shd w:val="clear" w:color="auto" w:fill="FFFFFF"/>
        </w:rPr>
        <w:t xml:space="preserve">я </w:t>
      </w:r>
      <w:r w:rsidRPr="00173165">
        <w:rPr>
          <w:shd w:val="clear" w:color="auto" w:fill="FFFFFF"/>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были заключены договор</w:t>
      </w:r>
      <w:r w:rsidR="00BC16AD" w:rsidRPr="00173165">
        <w:rPr>
          <w:shd w:val="clear" w:color="auto" w:fill="FFFFFF"/>
        </w:rPr>
        <w:t>а</w:t>
      </w:r>
      <w:r w:rsidRPr="00173165">
        <w:rPr>
          <w:shd w:val="clear" w:color="auto" w:fill="FFFFFF"/>
        </w:rPr>
        <w:t xml:space="preserve"> и контракт</w:t>
      </w:r>
      <w:r w:rsidR="00BC16AD" w:rsidRPr="00173165">
        <w:rPr>
          <w:shd w:val="clear" w:color="auto" w:fill="FFFFFF"/>
        </w:rPr>
        <w:t>ы (кол-во 544)</w:t>
      </w:r>
      <w:r w:rsidRPr="00173165">
        <w:rPr>
          <w:shd w:val="clear" w:color="auto" w:fill="FFFFFF"/>
        </w:rPr>
        <w:t xml:space="preserve"> на общую сумму </w:t>
      </w:r>
      <w:r w:rsidR="00BC16AD" w:rsidRPr="00173165">
        <w:rPr>
          <w:shd w:val="clear" w:color="auto" w:fill="FFFFFF"/>
        </w:rPr>
        <w:t>64953,9</w:t>
      </w:r>
      <w:r w:rsidRPr="00173165">
        <w:rPr>
          <w:shd w:val="clear" w:color="auto" w:fill="FFFFFF"/>
        </w:rPr>
        <w:t xml:space="preserve"> тыс. руб.</w:t>
      </w:r>
    </w:p>
    <w:p w:rsidR="002251EE" w:rsidRPr="00173165" w:rsidRDefault="002251EE" w:rsidP="002251EE">
      <w:pPr>
        <w:ind w:firstLine="540"/>
        <w:jc w:val="both"/>
        <w:rPr>
          <w:shd w:val="clear" w:color="auto" w:fill="FFFFFF"/>
        </w:rPr>
      </w:pPr>
      <w:r w:rsidRPr="00173165">
        <w:rPr>
          <w:shd w:val="clear" w:color="auto" w:fill="FFFFFF"/>
        </w:rPr>
        <w:t xml:space="preserve">В соответствии с пунктом 1 статьи 23 Закона "О контрактной системе в сфере закупок товаров, работ, услуг для обеспечения государственных и муниципальных нужд" в договоре или контракте обязательно должен быть указан Идентификационный код закупки (далее – ИКЗ). </w:t>
      </w:r>
    </w:p>
    <w:p w:rsidR="002251EE" w:rsidRPr="00173165" w:rsidRDefault="002251EE" w:rsidP="002251EE">
      <w:pPr>
        <w:ind w:firstLine="540"/>
        <w:jc w:val="both"/>
        <w:rPr>
          <w:shd w:val="clear" w:color="auto" w:fill="FFFFFF"/>
        </w:rPr>
      </w:pPr>
      <w:r w:rsidRPr="00173165">
        <w:rPr>
          <w:shd w:val="clear" w:color="auto" w:fill="FFFFFF"/>
        </w:rPr>
        <w:t xml:space="preserve">В нарушение пункта 1 статьи 23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ИКЗ не было указано в </w:t>
      </w:r>
      <w:r w:rsidR="00316CA3" w:rsidRPr="00173165">
        <w:rPr>
          <w:shd w:val="clear" w:color="auto" w:fill="FFFFFF"/>
        </w:rPr>
        <w:t>16</w:t>
      </w:r>
      <w:r w:rsidRPr="00173165">
        <w:rPr>
          <w:shd w:val="clear" w:color="auto" w:fill="FFFFFF"/>
        </w:rPr>
        <w:t xml:space="preserve"> договорах на общую сумму </w:t>
      </w:r>
      <w:r w:rsidR="00316CA3" w:rsidRPr="00173165">
        <w:rPr>
          <w:shd w:val="clear" w:color="auto" w:fill="FFFFFF"/>
        </w:rPr>
        <w:t>364,4 тыс. руб.</w:t>
      </w:r>
    </w:p>
    <w:p w:rsidR="00316CA3" w:rsidRPr="00173165" w:rsidRDefault="00316CA3" w:rsidP="002251EE">
      <w:pPr>
        <w:ind w:firstLine="540"/>
        <w:jc w:val="both"/>
        <w:rPr>
          <w:shd w:val="clear" w:color="auto" w:fill="FFFFFF"/>
        </w:rPr>
      </w:pPr>
    </w:p>
    <w:p w:rsidR="00934F84" w:rsidRPr="00173165" w:rsidRDefault="00934F84" w:rsidP="00934F84">
      <w:pPr>
        <w:ind w:firstLine="540"/>
        <w:jc w:val="both"/>
        <w:rPr>
          <w:b/>
        </w:rPr>
      </w:pPr>
      <w:r w:rsidRPr="00173165">
        <w:rPr>
          <w:b/>
          <w:color w:val="000000"/>
        </w:rPr>
        <w:t xml:space="preserve">                                                </w:t>
      </w:r>
      <w:r w:rsidR="00173165" w:rsidRPr="00173165">
        <w:rPr>
          <w:b/>
          <w:color w:val="000000"/>
        </w:rPr>
        <w:t xml:space="preserve">            </w:t>
      </w:r>
      <w:r w:rsidRPr="00173165">
        <w:rPr>
          <w:b/>
          <w:color w:val="000000"/>
        </w:rPr>
        <w:t xml:space="preserve">   </w:t>
      </w:r>
      <w:r w:rsidRPr="00173165">
        <w:rPr>
          <w:b/>
        </w:rPr>
        <w:t>Выводы:</w:t>
      </w:r>
    </w:p>
    <w:p w:rsidR="00934F84" w:rsidRPr="00173165" w:rsidRDefault="00934F84" w:rsidP="00316C26">
      <w:pPr>
        <w:ind w:firstLine="540"/>
        <w:jc w:val="center"/>
      </w:pPr>
    </w:p>
    <w:p w:rsidR="00934F84" w:rsidRPr="00173165" w:rsidRDefault="00934F84" w:rsidP="00316C26">
      <w:pPr>
        <w:ind w:firstLine="540"/>
        <w:jc w:val="center"/>
        <w:rPr>
          <w:b/>
          <w:bCs/>
        </w:rPr>
      </w:pPr>
      <w:r w:rsidRPr="00173165">
        <w:rPr>
          <w:b/>
        </w:rPr>
        <w:t xml:space="preserve">Проверкой </w:t>
      </w:r>
      <w:r w:rsidR="00B25B5E" w:rsidRPr="00173165">
        <w:rPr>
          <w:b/>
        </w:rPr>
        <w:t xml:space="preserve">достоверности отчета о реализации муниципальной программы «Развитие образования в муниципальном образовании «Город Адыгейск» </w:t>
      </w:r>
      <w:r w:rsidRPr="00173165">
        <w:rPr>
          <w:b/>
          <w:bCs/>
        </w:rPr>
        <w:t>за 202</w:t>
      </w:r>
      <w:r w:rsidR="000D19D6" w:rsidRPr="00173165">
        <w:rPr>
          <w:b/>
          <w:bCs/>
        </w:rPr>
        <w:t>2</w:t>
      </w:r>
      <w:r w:rsidRPr="00173165">
        <w:rPr>
          <w:b/>
          <w:bCs/>
        </w:rPr>
        <w:t xml:space="preserve"> год установлено</w:t>
      </w:r>
      <w:r w:rsidR="00832F91" w:rsidRPr="00173165">
        <w:rPr>
          <w:b/>
          <w:bCs/>
        </w:rPr>
        <w:t>:</w:t>
      </w:r>
    </w:p>
    <w:p w:rsidR="004D7B77" w:rsidRPr="00173165" w:rsidRDefault="004D7B77" w:rsidP="00316C26">
      <w:pPr>
        <w:ind w:firstLine="540"/>
        <w:jc w:val="center"/>
        <w:rPr>
          <w:b/>
        </w:rPr>
      </w:pPr>
    </w:p>
    <w:p w:rsidR="00B90D66" w:rsidRPr="00173165" w:rsidRDefault="00B90D66" w:rsidP="00B90D66">
      <w:pPr>
        <w:pStyle w:val="ad"/>
        <w:spacing w:after="0" w:line="240" w:lineRule="auto"/>
        <w:ind w:left="0" w:firstLine="540"/>
        <w:jc w:val="both"/>
        <w:rPr>
          <w:rFonts w:ascii="Times New Roman" w:hAnsi="Times New Roman"/>
          <w:i/>
          <w:color w:val="000000" w:themeColor="text1"/>
          <w:sz w:val="24"/>
          <w:szCs w:val="24"/>
        </w:rPr>
      </w:pPr>
      <w:r w:rsidRPr="00173165">
        <w:rPr>
          <w:rFonts w:ascii="Times New Roman" w:hAnsi="Times New Roman"/>
          <w:bCs/>
          <w:i/>
          <w:color w:val="000000" w:themeColor="text1"/>
          <w:sz w:val="24"/>
          <w:szCs w:val="24"/>
        </w:rPr>
        <w:t xml:space="preserve">1.В  нарушение   </w:t>
      </w:r>
      <w:hyperlink r:id="rId12" w:history="1">
        <w:r w:rsidRPr="00173165">
          <w:rPr>
            <w:rFonts w:ascii="Times New Roman" w:hAnsi="Times New Roman"/>
            <w:i/>
            <w:iCs/>
            <w:color w:val="000000" w:themeColor="text1"/>
            <w:sz w:val="24"/>
            <w:szCs w:val="24"/>
          </w:rPr>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173165">
        <w:rPr>
          <w:rFonts w:ascii="Times New Roman" w:hAnsi="Times New Roman"/>
          <w:bCs/>
          <w:i/>
          <w:color w:val="000000" w:themeColor="text1"/>
          <w:sz w:val="24"/>
          <w:szCs w:val="24"/>
        </w:rPr>
        <w:t>,</w:t>
      </w:r>
      <w:r w:rsidRPr="00173165">
        <w:rPr>
          <w:rFonts w:ascii="Times New Roman" w:hAnsi="Times New Roman"/>
          <w:b/>
          <w:bCs/>
          <w:i/>
          <w:color w:val="000000" w:themeColor="text1"/>
          <w:sz w:val="24"/>
          <w:szCs w:val="24"/>
        </w:rPr>
        <w:t xml:space="preserve"> </w:t>
      </w:r>
      <w:r w:rsidRPr="00173165">
        <w:rPr>
          <w:rFonts w:ascii="Times New Roman" w:hAnsi="Times New Roman"/>
          <w:bCs/>
          <w:i/>
          <w:color w:val="000000" w:themeColor="text1"/>
          <w:sz w:val="24"/>
          <w:szCs w:val="24"/>
        </w:rPr>
        <w:t xml:space="preserve">Приказа Министерства финансов РФ от 16.12.2010г. №174н «Об утверждении Плана счетов бухгалтерского учета бюджетных учреждений и Инструкции по его применению", Стандарта </w:t>
      </w:r>
      <w:r w:rsidRPr="00173165">
        <w:rPr>
          <w:rFonts w:ascii="Times New Roman" w:hAnsi="Times New Roman"/>
          <w:i/>
          <w:color w:val="000000" w:themeColor="text1"/>
          <w:sz w:val="24"/>
          <w:szCs w:val="24"/>
        </w:rPr>
        <w:t>ОС № 257н списаны в сумме 4,8 тыс. руб., в том числе:</w:t>
      </w:r>
    </w:p>
    <w:p w:rsidR="00B90D66" w:rsidRPr="00173165" w:rsidRDefault="00B90D66" w:rsidP="00B90D66">
      <w:pPr>
        <w:ind w:firstLine="540"/>
        <w:jc w:val="both"/>
        <w:rPr>
          <w:i/>
          <w:color w:val="000000" w:themeColor="text1"/>
        </w:rPr>
      </w:pPr>
      <w:r w:rsidRPr="00173165">
        <w:rPr>
          <w:i/>
          <w:color w:val="000000" w:themeColor="text1"/>
        </w:rPr>
        <w:t>- приобретенные основные средства приняты на бюджетный учет и списаны, как материальные запасы в сумме 4,8 тыс. руб.</w:t>
      </w:r>
    </w:p>
    <w:p w:rsidR="00B90D66" w:rsidRPr="00173165" w:rsidRDefault="00B90D66" w:rsidP="00B90D66">
      <w:pPr>
        <w:ind w:firstLine="567"/>
        <w:jc w:val="both"/>
        <w:outlineLvl w:val="0"/>
        <w:rPr>
          <w:bCs/>
          <w:i/>
          <w:color w:val="000000" w:themeColor="text1"/>
        </w:rPr>
      </w:pPr>
      <w:r w:rsidRPr="00173165">
        <w:rPr>
          <w:i/>
        </w:rPr>
        <w:t>2.</w:t>
      </w:r>
      <w:r w:rsidRPr="00173165">
        <w:rPr>
          <w:b/>
          <w:bCs/>
          <w:i/>
          <w:color w:val="FF0000"/>
        </w:rPr>
        <w:t xml:space="preserve"> </w:t>
      </w:r>
      <w:r w:rsidRPr="00173165">
        <w:rPr>
          <w:bCs/>
          <w:i/>
          <w:color w:val="000000" w:themeColor="text1"/>
        </w:rPr>
        <w:t>В нарушение подпункта 3 пункта 2 Постановления Кабинета Министров РА от 12.11.2009г. №219 «О некоторых вопросах реализации мер социальной поддержки отдельным категориям граждан в Республике Адыгея», «Порядка расходования бюджетами муниципальных районов (городских округов) субвенций на предоставление компенсаций на оплату жилья и коммунальных услуг отдельным категориям граждан в Республике Адыгея» с нарушением принципов результативности и эффективности, установленных статьями 34, 162 Бюджетного Кодекса РФ произведены выплаты компенсации на оплату жилья и коммунальных услуг  без соответствующих документов в сумме 5,3 тыс. руб.</w:t>
      </w:r>
    </w:p>
    <w:p w:rsidR="00B90D66" w:rsidRPr="00173165" w:rsidRDefault="00B90D66" w:rsidP="00B90D66">
      <w:pPr>
        <w:ind w:firstLine="540"/>
        <w:jc w:val="both"/>
        <w:rPr>
          <w:i/>
          <w:color w:val="000000" w:themeColor="text1"/>
        </w:rPr>
      </w:pPr>
      <w:r w:rsidRPr="00173165">
        <w:rPr>
          <w:bCs/>
          <w:i/>
          <w:color w:val="000000" w:themeColor="text1"/>
        </w:rPr>
        <w:t>3. В</w:t>
      </w:r>
      <w:r w:rsidRPr="00173165">
        <w:rPr>
          <w:i/>
          <w:color w:val="FF0000"/>
        </w:rPr>
        <w:t xml:space="preserve"> </w:t>
      </w:r>
      <w:r w:rsidRPr="00173165">
        <w:rPr>
          <w:i/>
          <w:color w:val="000000" w:themeColor="text1"/>
        </w:rPr>
        <w:t>нарушение ч.2 ст. 125 ТК РФ допущено расходование бюджетных средств без предоставления отгулов в сумме 67</w:t>
      </w:r>
      <w:r w:rsidR="00CA2811" w:rsidRPr="00173165">
        <w:rPr>
          <w:i/>
          <w:color w:val="000000" w:themeColor="text1"/>
        </w:rPr>
        <w:t>,</w:t>
      </w:r>
      <w:r w:rsidRPr="00173165">
        <w:rPr>
          <w:i/>
          <w:color w:val="000000" w:themeColor="text1"/>
        </w:rPr>
        <w:t>9</w:t>
      </w:r>
      <w:r w:rsidR="001B1D75" w:rsidRPr="00173165">
        <w:rPr>
          <w:i/>
          <w:color w:val="000000" w:themeColor="text1"/>
        </w:rPr>
        <w:t xml:space="preserve"> тыс.</w:t>
      </w:r>
      <w:r w:rsidR="00820CF1" w:rsidRPr="00173165">
        <w:rPr>
          <w:i/>
          <w:color w:val="000000" w:themeColor="text1"/>
        </w:rPr>
        <w:t xml:space="preserve"> </w:t>
      </w:r>
      <w:r w:rsidRPr="00173165">
        <w:rPr>
          <w:i/>
          <w:color w:val="000000" w:themeColor="text1"/>
        </w:rPr>
        <w:t xml:space="preserve">руб. </w:t>
      </w:r>
    </w:p>
    <w:p w:rsidR="00B90D66" w:rsidRPr="00173165" w:rsidRDefault="00B90D66" w:rsidP="00B90D66">
      <w:pPr>
        <w:ind w:firstLine="540"/>
        <w:jc w:val="both"/>
        <w:rPr>
          <w:i/>
          <w:color w:val="000000" w:themeColor="text1"/>
        </w:rPr>
      </w:pPr>
      <w:r w:rsidRPr="00173165">
        <w:rPr>
          <w:bCs/>
          <w:i/>
          <w:color w:val="000000" w:themeColor="text1"/>
        </w:rPr>
        <w:t xml:space="preserve">4. </w:t>
      </w:r>
      <w:r w:rsidR="00F24409" w:rsidRPr="00173165">
        <w:rPr>
          <w:i/>
          <w:color w:val="000000" w:themeColor="text1"/>
        </w:rPr>
        <w:t>В нарушение приказа Министерства финансов Российской Федерации от 01.07.2013 года № 65н «Об утверждении Указаний о порядке применения бюджетной классификации Российской Федерации» Управлением осуществлено не правильное применение КОСГУ при проведении хозяйственных операций на общую сумму 219,7 тыс. руб.</w:t>
      </w:r>
    </w:p>
    <w:p w:rsidR="00B90D66" w:rsidRPr="00173165" w:rsidRDefault="00B90D66" w:rsidP="00B90D66">
      <w:pPr>
        <w:ind w:firstLine="540"/>
        <w:jc w:val="both"/>
        <w:outlineLvl w:val="0"/>
        <w:rPr>
          <w:bCs/>
          <w:i/>
          <w:color w:val="000000" w:themeColor="text1"/>
        </w:rPr>
      </w:pPr>
      <w:r w:rsidRPr="00173165">
        <w:rPr>
          <w:bCs/>
          <w:i/>
          <w:color w:val="000000" w:themeColor="text1"/>
        </w:rPr>
        <w:lastRenderedPageBreak/>
        <w:t xml:space="preserve">5. В нарушение Приказа Министерства здравоохранения от 15.06.2015г. №344н «О проведении обязательного освидетельствования водителей транспортных средств», водитель МБОУ СОШ №4 а. </w:t>
      </w:r>
      <w:proofErr w:type="spellStart"/>
      <w:r w:rsidRPr="00173165">
        <w:rPr>
          <w:bCs/>
          <w:i/>
          <w:color w:val="000000" w:themeColor="text1"/>
        </w:rPr>
        <w:t>Гатлукай</w:t>
      </w:r>
      <w:proofErr w:type="spellEnd"/>
      <w:r w:rsidRPr="00173165">
        <w:rPr>
          <w:bCs/>
          <w:i/>
          <w:color w:val="000000" w:themeColor="text1"/>
        </w:rPr>
        <w:t xml:space="preserve"> в 2022 году медицинское освидетельствование не проходил.    </w:t>
      </w:r>
    </w:p>
    <w:p w:rsidR="00F24409" w:rsidRPr="00173165" w:rsidRDefault="00F24409" w:rsidP="00F24409">
      <w:pPr>
        <w:ind w:firstLine="540"/>
        <w:jc w:val="both"/>
        <w:rPr>
          <w:i/>
          <w:color w:val="000000" w:themeColor="text1"/>
        </w:rPr>
      </w:pPr>
      <w:r w:rsidRPr="00173165">
        <w:rPr>
          <w:i/>
          <w:color w:val="000000" w:themeColor="text1"/>
        </w:rPr>
        <w:t>6. В нарушение принципа эффективности, установленного статьей 34 Бюджетного кодекса Российской Федерации допущено неэффективное расходование бюджетных средств в сумме 46,8 тыс. руб., из них:</w:t>
      </w:r>
    </w:p>
    <w:p w:rsidR="00F24409" w:rsidRPr="00173165" w:rsidRDefault="00F24409" w:rsidP="00F24409">
      <w:pPr>
        <w:ind w:firstLine="540"/>
        <w:jc w:val="both"/>
        <w:rPr>
          <w:i/>
          <w:color w:val="000000" w:themeColor="text1"/>
        </w:rPr>
      </w:pPr>
      <w:r w:rsidRPr="00173165">
        <w:rPr>
          <w:i/>
          <w:color w:val="000000" w:themeColor="text1"/>
        </w:rPr>
        <w:t>- штрафы административные – 20,0 тыс. руб.;</w:t>
      </w:r>
    </w:p>
    <w:p w:rsidR="00F24409" w:rsidRPr="00173165" w:rsidRDefault="00F24409" w:rsidP="00F24409">
      <w:pPr>
        <w:ind w:firstLine="540"/>
        <w:jc w:val="both"/>
        <w:rPr>
          <w:i/>
          <w:color w:val="000000" w:themeColor="text1"/>
        </w:rPr>
      </w:pPr>
      <w:r w:rsidRPr="00173165">
        <w:rPr>
          <w:i/>
          <w:color w:val="000000" w:themeColor="text1"/>
        </w:rPr>
        <w:t>- пени – 13,1 тыс. руб.</w:t>
      </w:r>
    </w:p>
    <w:p w:rsidR="00F24409" w:rsidRPr="00173165" w:rsidRDefault="00F24409" w:rsidP="00F24409">
      <w:pPr>
        <w:ind w:firstLine="540"/>
        <w:jc w:val="both"/>
        <w:rPr>
          <w:i/>
          <w:color w:val="000000" w:themeColor="text1"/>
        </w:rPr>
      </w:pPr>
      <w:r w:rsidRPr="00173165">
        <w:rPr>
          <w:i/>
          <w:color w:val="000000" w:themeColor="text1"/>
        </w:rPr>
        <w:t>- неустойки – 13,7 тыс. руб.</w:t>
      </w:r>
    </w:p>
    <w:p w:rsidR="00F24409" w:rsidRPr="00173165" w:rsidRDefault="00F24409" w:rsidP="00F24409">
      <w:pPr>
        <w:ind w:firstLine="540"/>
        <w:jc w:val="both"/>
        <w:rPr>
          <w:i/>
          <w:color w:val="000000" w:themeColor="text1"/>
        </w:rPr>
      </w:pPr>
      <w:r w:rsidRPr="00173165">
        <w:rPr>
          <w:bCs/>
          <w:i/>
          <w:color w:val="000000" w:themeColor="text1"/>
        </w:rPr>
        <w:t xml:space="preserve">7. В  нарушение   </w:t>
      </w:r>
      <w:hyperlink r:id="rId13" w:history="1">
        <w:r w:rsidRPr="00173165">
          <w:rPr>
            <w:i/>
            <w:iCs/>
            <w:color w:val="000000" w:themeColor="text1"/>
          </w:rPr>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173165">
        <w:rPr>
          <w:bCs/>
          <w:i/>
          <w:color w:val="000000" w:themeColor="text1"/>
        </w:rPr>
        <w:t>,</w:t>
      </w:r>
      <w:r w:rsidRPr="00173165">
        <w:rPr>
          <w:b/>
          <w:bCs/>
          <w:i/>
          <w:color w:val="000000" w:themeColor="text1"/>
        </w:rPr>
        <w:t xml:space="preserve"> </w:t>
      </w:r>
      <w:r w:rsidRPr="00173165">
        <w:rPr>
          <w:bCs/>
          <w:i/>
          <w:color w:val="000000" w:themeColor="text1"/>
        </w:rPr>
        <w:t xml:space="preserve">Приказа Министерства финансов РФ от 16.12.2010г. №174н «Об утверждении Плана счетов бухгалтерского учета бюджетных учреждений и Инструкции по его применению", Стандарта </w:t>
      </w:r>
      <w:r w:rsidRPr="00173165">
        <w:rPr>
          <w:i/>
          <w:color w:val="000000" w:themeColor="text1"/>
        </w:rPr>
        <w:t>ОС № 257н списаны актами материальных запасов основные средства в сумме 40,5 тыс. руб.</w:t>
      </w:r>
    </w:p>
    <w:p w:rsidR="00F24409" w:rsidRPr="00173165" w:rsidRDefault="00F24409" w:rsidP="00F24409">
      <w:pPr>
        <w:ind w:firstLine="540"/>
        <w:jc w:val="both"/>
      </w:pPr>
      <w:r w:rsidRPr="00173165">
        <w:rPr>
          <w:i/>
          <w:color w:val="000000" w:themeColor="text1"/>
        </w:rPr>
        <w:t xml:space="preserve">8. </w:t>
      </w:r>
      <w:r w:rsidRPr="00173165">
        <w:rPr>
          <w:bCs/>
          <w:i/>
        </w:rPr>
        <w:t>В нарушение пунктов 7.4.2, 7.4.3 Положения № 325 от 28.12.2005г «О порядке владения, управления и распоряжения муниципальной собственностью МО «Город Адыгейск» без приказа Главы МО «Город Адыгейск», без приказа руководителя были списаны основные средства в сумме 333,5 тыс. руб.</w:t>
      </w:r>
    </w:p>
    <w:p w:rsidR="00B90D66" w:rsidRPr="00173165" w:rsidRDefault="00F24409" w:rsidP="00B90D66">
      <w:pPr>
        <w:ind w:firstLine="540"/>
        <w:jc w:val="both"/>
        <w:outlineLvl w:val="0"/>
        <w:rPr>
          <w:i/>
          <w:color w:val="000000" w:themeColor="text1"/>
        </w:rPr>
      </w:pPr>
      <w:r w:rsidRPr="00173165">
        <w:rPr>
          <w:i/>
          <w:color w:val="000000" w:themeColor="text1"/>
        </w:rPr>
        <w:t>9. Образовательными учреждениями не приняты меры по возврату затрат на содержание переданных помещений (столовых), следовательно, указанные расходы в сумме 1197,8 тыс. руб. осуществлены с нарушением принципа эффективности, установленного статьей 34 Бюджетного кодекса РФ.</w:t>
      </w:r>
    </w:p>
    <w:p w:rsidR="00CA2811" w:rsidRPr="00173165" w:rsidRDefault="00F24409" w:rsidP="00CA2811">
      <w:pPr>
        <w:ind w:firstLine="540"/>
        <w:jc w:val="both"/>
        <w:outlineLvl w:val="0"/>
        <w:rPr>
          <w:bCs/>
          <w:i/>
        </w:rPr>
      </w:pPr>
      <w:r w:rsidRPr="00173165">
        <w:rPr>
          <w:i/>
          <w:color w:val="000000" w:themeColor="text1"/>
        </w:rPr>
        <w:t xml:space="preserve">10. </w:t>
      </w:r>
      <w:r w:rsidR="00CA2811" w:rsidRPr="00173165">
        <w:rPr>
          <w:bCs/>
          <w:i/>
        </w:rPr>
        <w:t xml:space="preserve">Дебиторская задолженность по родительской плате на сумму 237,5 тыс. руб., образовавшиеся из-за не правильных действий администрации ДОУ№5, является неэффективным использованием бюджетных средств. </w:t>
      </w:r>
    </w:p>
    <w:p w:rsidR="00F33833" w:rsidRPr="00173165" w:rsidRDefault="00F33833" w:rsidP="00F33833">
      <w:pPr>
        <w:ind w:firstLine="540"/>
        <w:jc w:val="both"/>
        <w:rPr>
          <w:bCs/>
          <w:i/>
        </w:rPr>
      </w:pPr>
      <w:r w:rsidRPr="00173165">
        <w:rPr>
          <w:bCs/>
          <w:i/>
        </w:rPr>
        <w:t xml:space="preserve">11. </w:t>
      </w:r>
      <w:r w:rsidRPr="00173165">
        <w:rPr>
          <w:i/>
        </w:rPr>
        <w:t>Без своевременного оформления приказов выплачено бюджетных средств в ДОУ № 4 в сумме 54,2 тыс. руб., в ДОУ № 6 в сумме 31,8 тыс. руб., в ДОУ № 2 в сумме 25,4 тыс. руб.</w:t>
      </w:r>
    </w:p>
    <w:p w:rsidR="001B1D75" w:rsidRPr="00173165" w:rsidRDefault="001B1D75" w:rsidP="001B1D75">
      <w:pPr>
        <w:ind w:firstLine="540"/>
        <w:jc w:val="both"/>
        <w:rPr>
          <w:i/>
          <w:shd w:val="clear" w:color="auto" w:fill="FFFFFF"/>
        </w:rPr>
      </w:pPr>
      <w:r w:rsidRPr="00173165">
        <w:rPr>
          <w:i/>
          <w:color w:val="000000" w:themeColor="text1"/>
        </w:rPr>
        <w:t>1</w:t>
      </w:r>
      <w:r w:rsidR="00F33833" w:rsidRPr="00173165">
        <w:rPr>
          <w:i/>
          <w:color w:val="000000" w:themeColor="text1"/>
        </w:rPr>
        <w:t>2</w:t>
      </w:r>
      <w:r w:rsidRPr="00173165">
        <w:rPr>
          <w:i/>
          <w:color w:val="000000" w:themeColor="text1"/>
        </w:rPr>
        <w:t xml:space="preserve">. </w:t>
      </w:r>
      <w:r w:rsidRPr="00173165">
        <w:rPr>
          <w:i/>
          <w:shd w:val="clear" w:color="auto" w:fill="FFFFFF"/>
        </w:rPr>
        <w:t>В нарушение пункта 1 статьи 23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ИКЗ не было указано в 16 договорах на общую сумму 364,4 тыс. руб.</w:t>
      </w:r>
    </w:p>
    <w:p w:rsidR="001B1D75" w:rsidRPr="00173165" w:rsidRDefault="001B1D75" w:rsidP="001B1D75">
      <w:pPr>
        <w:ind w:firstLine="540"/>
        <w:jc w:val="both"/>
        <w:outlineLvl w:val="0"/>
        <w:rPr>
          <w:bCs/>
          <w:i/>
        </w:rPr>
      </w:pPr>
      <w:r w:rsidRPr="00173165">
        <w:rPr>
          <w:i/>
          <w:color w:val="000000" w:themeColor="text1"/>
        </w:rPr>
        <w:t>1</w:t>
      </w:r>
      <w:r w:rsidR="00F33833" w:rsidRPr="00173165">
        <w:rPr>
          <w:i/>
          <w:color w:val="000000" w:themeColor="text1"/>
        </w:rPr>
        <w:t>3</w:t>
      </w:r>
      <w:r w:rsidRPr="00173165">
        <w:rPr>
          <w:i/>
          <w:color w:val="000000" w:themeColor="text1"/>
        </w:rPr>
        <w:t xml:space="preserve">. </w:t>
      </w:r>
      <w:r w:rsidRPr="00173165">
        <w:rPr>
          <w:bCs/>
          <w:i/>
        </w:rPr>
        <w:t>Дефектные ведомости и акты выполненных работ по списанию материальных запасов, приложенные к актам по списанию материалов, не соответствуют требованиям ст.9 Закона «О бухгалтерском учете» от 06.12.2011 № 402.</w:t>
      </w:r>
    </w:p>
    <w:p w:rsidR="00820CF1" w:rsidRPr="00173165" w:rsidRDefault="00820CF1" w:rsidP="00820CF1">
      <w:pPr>
        <w:widowControl w:val="0"/>
        <w:autoSpaceDE w:val="0"/>
        <w:autoSpaceDN w:val="0"/>
        <w:adjustRightInd w:val="0"/>
        <w:jc w:val="both"/>
        <w:rPr>
          <w:i/>
        </w:rPr>
      </w:pPr>
      <w:r w:rsidRPr="00173165">
        <w:rPr>
          <w:bCs/>
          <w:i/>
        </w:rPr>
        <w:t xml:space="preserve">       14. </w:t>
      </w:r>
      <w:r w:rsidRPr="00173165">
        <w:rPr>
          <w:i/>
        </w:rPr>
        <w:t>В   нарушение   п. 46   Инструкции 157</w:t>
      </w:r>
      <w:r w:rsidR="00E94E6C" w:rsidRPr="00173165">
        <w:rPr>
          <w:i/>
        </w:rPr>
        <w:t>н, п.</w:t>
      </w:r>
      <w:r w:rsidRPr="00173165">
        <w:rPr>
          <w:i/>
        </w:rPr>
        <w:t xml:space="preserve"> </w:t>
      </w:r>
      <w:r w:rsidR="00173165" w:rsidRPr="00173165">
        <w:rPr>
          <w:i/>
        </w:rPr>
        <w:t>9 ч.</w:t>
      </w:r>
      <w:r w:rsidRPr="00173165">
        <w:rPr>
          <w:i/>
        </w:rPr>
        <w:t xml:space="preserve"> 3   Федерального </w:t>
      </w:r>
    </w:p>
    <w:p w:rsidR="00820CF1" w:rsidRPr="00173165" w:rsidRDefault="00820CF1" w:rsidP="00820CF1">
      <w:pPr>
        <w:widowControl w:val="0"/>
        <w:autoSpaceDE w:val="0"/>
        <w:autoSpaceDN w:val="0"/>
        <w:adjustRightInd w:val="0"/>
        <w:jc w:val="both"/>
        <w:rPr>
          <w:i/>
        </w:rPr>
      </w:pPr>
      <w:r w:rsidRPr="00173165">
        <w:rPr>
          <w:i/>
        </w:rPr>
        <w:t xml:space="preserve">стандарта «Основные средства» в Учетной политике не установлен порядок </w:t>
      </w:r>
      <w:r w:rsidRPr="00173165">
        <w:rPr>
          <w:i/>
          <w:color w:val="000000"/>
          <w:shd w:val="clear" w:color="auto" w:fill="FFFFFF"/>
        </w:rPr>
        <w:t>присвоения инвентарного номера</w:t>
      </w:r>
      <w:r w:rsidRPr="00173165">
        <w:rPr>
          <w:i/>
        </w:rPr>
        <w:t xml:space="preserve"> </w:t>
      </w:r>
      <w:r w:rsidRPr="00173165">
        <w:rPr>
          <w:i/>
          <w:color w:val="000000"/>
          <w:shd w:val="clear" w:color="auto" w:fill="FFFFFF"/>
        </w:rPr>
        <w:t>каждому инвентарному объекту основных средств.</w:t>
      </w:r>
    </w:p>
    <w:p w:rsidR="006B7F73" w:rsidRPr="00173165" w:rsidRDefault="006B7F73" w:rsidP="006B7F73">
      <w:pPr>
        <w:autoSpaceDE w:val="0"/>
        <w:autoSpaceDN w:val="0"/>
        <w:adjustRightInd w:val="0"/>
        <w:ind w:firstLine="709"/>
        <w:jc w:val="both"/>
      </w:pPr>
      <w:r w:rsidRPr="00173165">
        <w:rPr>
          <w:i/>
          <w:color w:val="000000" w:themeColor="text1"/>
        </w:rPr>
        <w:t xml:space="preserve">15. </w:t>
      </w:r>
      <w:r w:rsidRPr="00173165">
        <w:t xml:space="preserve">. </w:t>
      </w:r>
      <w:r w:rsidRPr="00173165">
        <w:rPr>
          <w:i/>
        </w:rPr>
        <w:t>В нарушение п. 46 Инструкции 157н, п. 9 ч. 3 Федерального стандарта «Основные средства» в учетной политике данный порядок не установлен</w:t>
      </w:r>
      <w:r w:rsidRPr="00173165">
        <w:t>.</w:t>
      </w:r>
    </w:p>
    <w:p w:rsidR="00F24409" w:rsidRPr="00173165" w:rsidRDefault="006B7F73" w:rsidP="00B90D66">
      <w:pPr>
        <w:ind w:firstLine="540"/>
        <w:jc w:val="both"/>
        <w:outlineLvl w:val="0"/>
        <w:rPr>
          <w:i/>
        </w:rPr>
      </w:pPr>
      <w:r w:rsidRPr="00173165">
        <w:rPr>
          <w:i/>
          <w:color w:val="000000" w:themeColor="text1"/>
        </w:rPr>
        <w:t>16. Тр</w:t>
      </w:r>
      <w:r w:rsidRPr="00173165">
        <w:rPr>
          <w:i/>
        </w:rPr>
        <w:t xml:space="preserve">ебования статьи 160.2-1 Бюджетного кодекса Российской Федерации в УО, </w:t>
      </w:r>
      <w:r w:rsidRPr="00173165">
        <w:rPr>
          <w:rStyle w:val="a7"/>
          <w:i w:val="0"/>
        </w:rPr>
        <w:t>обеспечивающие осуществление внутреннего финансового аудита</w:t>
      </w:r>
      <w:r w:rsidRPr="00173165">
        <w:rPr>
          <w:i/>
        </w:rPr>
        <w:t xml:space="preserve"> в 2022 году не выполнялись.  </w:t>
      </w:r>
    </w:p>
    <w:p w:rsidR="006B7F73" w:rsidRPr="00173165" w:rsidRDefault="006B7F73" w:rsidP="00B90D66">
      <w:pPr>
        <w:ind w:firstLine="540"/>
        <w:jc w:val="both"/>
        <w:outlineLvl w:val="0"/>
        <w:rPr>
          <w:i/>
          <w:color w:val="000000" w:themeColor="text1"/>
        </w:rPr>
      </w:pPr>
    </w:p>
    <w:p w:rsidR="00820CF1" w:rsidRPr="00173165" w:rsidRDefault="00820CF1" w:rsidP="00820CF1">
      <w:pPr>
        <w:jc w:val="both"/>
      </w:pPr>
    </w:p>
    <w:p w:rsidR="00820CF1" w:rsidRPr="00173165" w:rsidRDefault="00820CF1" w:rsidP="00820CF1">
      <w:pPr>
        <w:jc w:val="both"/>
      </w:pPr>
      <w:r w:rsidRPr="00173165">
        <w:t>Председатель Контрольно-счетной палаты</w:t>
      </w:r>
    </w:p>
    <w:p w:rsidR="00820CF1" w:rsidRPr="00173165" w:rsidRDefault="00820CF1" w:rsidP="00820CF1">
      <w:pPr>
        <w:jc w:val="both"/>
      </w:pPr>
      <w:r w:rsidRPr="00173165">
        <w:t>МО «Город «</w:t>
      </w:r>
      <w:proofErr w:type="gramStart"/>
      <w:r w:rsidRPr="00173165">
        <w:t xml:space="preserve">Адыгейск»   </w:t>
      </w:r>
      <w:proofErr w:type="gramEnd"/>
      <w:r w:rsidRPr="00173165">
        <w:t xml:space="preserve">                                                </w:t>
      </w:r>
      <w:r w:rsidR="00173165">
        <w:t xml:space="preserve">                        </w:t>
      </w:r>
      <w:r w:rsidRPr="00173165">
        <w:t xml:space="preserve">         </w:t>
      </w:r>
      <w:proofErr w:type="spellStart"/>
      <w:r w:rsidRPr="00173165">
        <w:t>В.Ч.Джамирзе</w:t>
      </w:r>
      <w:proofErr w:type="spellEnd"/>
    </w:p>
    <w:sectPr w:rsidR="00820CF1" w:rsidRPr="0017316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BF" w:rsidRDefault="009C0CBF" w:rsidP="00770980">
      <w:r>
        <w:separator/>
      </w:r>
    </w:p>
  </w:endnote>
  <w:endnote w:type="continuationSeparator" w:id="0">
    <w:p w:rsidR="009C0CBF" w:rsidRDefault="009C0CBF" w:rsidP="007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2">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38763"/>
      <w:docPartObj>
        <w:docPartGallery w:val="Page Numbers (Bottom of Page)"/>
        <w:docPartUnique/>
      </w:docPartObj>
    </w:sdtPr>
    <w:sdtEndPr/>
    <w:sdtContent>
      <w:p w:rsidR="00A17261" w:rsidRDefault="00A17261">
        <w:pPr>
          <w:pStyle w:val="af0"/>
          <w:jc w:val="right"/>
        </w:pPr>
        <w:r>
          <w:fldChar w:fldCharType="begin"/>
        </w:r>
        <w:r>
          <w:instrText>PAGE   \* MERGEFORMAT</w:instrText>
        </w:r>
        <w:r>
          <w:fldChar w:fldCharType="separate"/>
        </w:r>
        <w:r w:rsidR="00914FD6">
          <w:rPr>
            <w:noProof/>
          </w:rPr>
          <w:t>11</w:t>
        </w:r>
        <w:r>
          <w:fldChar w:fldCharType="end"/>
        </w:r>
      </w:p>
    </w:sdtContent>
  </w:sdt>
  <w:p w:rsidR="00A17261" w:rsidRDefault="00A1726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BF" w:rsidRDefault="009C0CBF" w:rsidP="00770980">
      <w:r>
        <w:separator/>
      </w:r>
    </w:p>
  </w:footnote>
  <w:footnote w:type="continuationSeparator" w:id="0">
    <w:p w:rsidR="009C0CBF" w:rsidRDefault="009C0CBF" w:rsidP="0077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4E2D"/>
    <w:multiLevelType w:val="hybridMultilevel"/>
    <w:tmpl w:val="99AE41CA"/>
    <w:lvl w:ilvl="0" w:tplc="6570FA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26A2182"/>
    <w:multiLevelType w:val="hybridMultilevel"/>
    <w:tmpl w:val="C302BE42"/>
    <w:lvl w:ilvl="0" w:tplc="678489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5E"/>
    <w:rsid w:val="00001A9D"/>
    <w:rsid w:val="00002CD5"/>
    <w:rsid w:val="00010416"/>
    <w:rsid w:val="00010A99"/>
    <w:rsid w:val="00017E49"/>
    <w:rsid w:val="000208E3"/>
    <w:rsid w:val="00020DC0"/>
    <w:rsid w:val="00027AC8"/>
    <w:rsid w:val="00027D1F"/>
    <w:rsid w:val="0003080E"/>
    <w:rsid w:val="0004474B"/>
    <w:rsid w:val="00047A53"/>
    <w:rsid w:val="00050D8E"/>
    <w:rsid w:val="0007148B"/>
    <w:rsid w:val="00075010"/>
    <w:rsid w:val="000770D4"/>
    <w:rsid w:val="00085CEE"/>
    <w:rsid w:val="000865ED"/>
    <w:rsid w:val="000A03B6"/>
    <w:rsid w:val="000A2587"/>
    <w:rsid w:val="000B2EC3"/>
    <w:rsid w:val="000C325A"/>
    <w:rsid w:val="000D19D6"/>
    <w:rsid w:val="000D2F56"/>
    <w:rsid w:val="000E4970"/>
    <w:rsid w:val="000E5E43"/>
    <w:rsid w:val="000E7F7B"/>
    <w:rsid w:val="000F0DD9"/>
    <w:rsid w:val="000F2814"/>
    <w:rsid w:val="000F32C7"/>
    <w:rsid w:val="000F3DC6"/>
    <w:rsid w:val="000F6BBB"/>
    <w:rsid w:val="000F754F"/>
    <w:rsid w:val="001002C6"/>
    <w:rsid w:val="00101839"/>
    <w:rsid w:val="00103AB4"/>
    <w:rsid w:val="0010575E"/>
    <w:rsid w:val="00106EBF"/>
    <w:rsid w:val="001112EE"/>
    <w:rsid w:val="00112EBF"/>
    <w:rsid w:val="00113FDC"/>
    <w:rsid w:val="00122A23"/>
    <w:rsid w:val="001250AA"/>
    <w:rsid w:val="0012639A"/>
    <w:rsid w:val="001274E6"/>
    <w:rsid w:val="001317B4"/>
    <w:rsid w:val="00136DF2"/>
    <w:rsid w:val="00140B31"/>
    <w:rsid w:val="00147B1A"/>
    <w:rsid w:val="001523E0"/>
    <w:rsid w:val="00154240"/>
    <w:rsid w:val="001600A2"/>
    <w:rsid w:val="00170FEF"/>
    <w:rsid w:val="00171B18"/>
    <w:rsid w:val="00173165"/>
    <w:rsid w:val="00173326"/>
    <w:rsid w:val="001733FE"/>
    <w:rsid w:val="00173B3C"/>
    <w:rsid w:val="0017493B"/>
    <w:rsid w:val="00180B06"/>
    <w:rsid w:val="001824F1"/>
    <w:rsid w:val="00195BEF"/>
    <w:rsid w:val="00197E40"/>
    <w:rsid w:val="001A00E6"/>
    <w:rsid w:val="001A7392"/>
    <w:rsid w:val="001B1D75"/>
    <w:rsid w:val="001B3F9F"/>
    <w:rsid w:val="001B5985"/>
    <w:rsid w:val="001B7478"/>
    <w:rsid w:val="001C2C62"/>
    <w:rsid w:val="001C336C"/>
    <w:rsid w:val="001C5401"/>
    <w:rsid w:val="001D05BB"/>
    <w:rsid w:val="001E41C9"/>
    <w:rsid w:val="001F0FBC"/>
    <w:rsid w:val="001F465D"/>
    <w:rsid w:val="001F6E67"/>
    <w:rsid w:val="00201CE6"/>
    <w:rsid w:val="0020262F"/>
    <w:rsid w:val="0021152A"/>
    <w:rsid w:val="002137F6"/>
    <w:rsid w:val="0021396F"/>
    <w:rsid w:val="002251EE"/>
    <w:rsid w:val="002264B5"/>
    <w:rsid w:val="00236E4A"/>
    <w:rsid w:val="002504DE"/>
    <w:rsid w:val="00250BE9"/>
    <w:rsid w:val="002607B7"/>
    <w:rsid w:val="002641B9"/>
    <w:rsid w:val="00267612"/>
    <w:rsid w:val="002678BE"/>
    <w:rsid w:val="00277B30"/>
    <w:rsid w:val="00277DB8"/>
    <w:rsid w:val="00280D26"/>
    <w:rsid w:val="002817DC"/>
    <w:rsid w:val="002956D0"/>
    <w:rsid w:val="002C3F6F"/>
    <w:rsid w:val="002D3BDE"/>
    <w:rsid w:val="002D3F6A"/>
    <w:rsid w:val="002D47BD"/>
    <w:rsid w:val="002D55F5"/>
    <w:rsid w:val="002E7526"/>
    <w:rsid w:val="002F1633"/>
    <w:rsid w:val="002F259A"/>
    <w:rsid w:val="002F339D"/>
    <w:rsid w:val="002F3B60"/>
    <w:rsid w:val="002F43F4"/>
    <w:rsid w:val="0030442C"/>
    <w:rsid w:val="00315150"/>
    <w:rsid w:val="00316C26"/>
    <w:rsid w:val="00316CA3"/>
    <w:rsid w:val="00323FD3"/>
    <w:rsid w:val="003266B0"/>
    <w:rsid w:val="00333685"/>
    <w:rsid w:val="00335A0E"/>
    <w:rsid w:val="003413CB"/>
    <w:rsid w:val="003445BE"/>
    <w:rsid w:val="0034621F"/>
    <w:rsid w:val="00346790"/>
    <w:rsid w:val="003608E9"/>
    <w:rsid w:val="0037535E"/>
    <w:rsid w:val="0037754D"/>
    <w:rsid w:val="0039291A"/>
    <w:rsid w:val="003A2105"/>
    <w:rsid w:val="003B0033"/>
    <w:rsid w:val="003B694B"/>
    <w:rsid w:val="003B706A"/>
    <w:rsid w:val="003B738A"/>
    <w:rsid w:val="003C0C88"/>
    <w:rsid w:val="003C25B6"/>
    <w:rsid w:val="003C3064"/>
    <w:rsid w:val="003C44D5"/>
    <w:rsid w:val="003C4D44"/>
    <w:rsid w:val="003C7C68"/>
    <w:rsid w:val="003D1D35"/>
    <w:rsid w:val="003D38A8"/>
    <w:rsid w:val="003D6690"/>
    <w:rsid w:val="003D6F3B"/>
    <w:rsid w:val="003F4C41"/>
    <w:rsid w:val="004021D9"/>
    <w:rsid w:val="00402950"/>
    <w:rsid w:val="00411FC2"/>
    <w:rsid w:val="00416A88"/>
    <w:rsid w:val="004243EB"/>
    <w:rsid w:val="00424FDD"/>
    <w:rsid w:val="00426151"/>
    <w:rsid w:val="004472AA"/>
    <w:rsid w:val="00472EC7"/>
    <w:rsid w:val="004757A6"/>
    <w:rsid w:val="00477854"/>
    <w:rsid w:val="00477E10"/>
    <w:rsid w:val="00484105"/>
    <w:rsid w:val="00486936"/>
    <w:rsid w:val="00493CBB"/>
    <w:rsid w:val="00496B41"/>
    <w:rsid w:val="00497F61"/>
    <w:rsid w:val="004A56BE"/>
    <w:rsid w:val="004A5D15"/>
    <w:rsid w:val="004B466A"/>
    <w:rsid w:val="004B72B0"/>
    <w:rsid w:val="004C5143"/>
    <w:rsid w:val="004D7B77"/>
    <w:rsid w:val="004E2970"/>
    <w:rsid w:val="004E6158"/>
    <w:rsid w:val="004F3AA2"/>
    <w:rsid w:val="004F730D"/>
    <w:rsid w:val="004F7744"/>
    <w:rsid w:val="00516847"/>
    <w:rsid w:val="00526410"/>
    <w:rsid w:val="00532364"/>
    <w:rsid w:val="005368F1"/>
    <w:rsid w:val="00541DF1"/>
    <w:rsid w:val="0056619E"/>
    <w:rsid w:val="00566378"/>
    <w:rsid w:val="00570E82"/>
    <w:rsid w:val="005726B3"/>
    <w:rsid w:val="00580278"/>
    <w:rsid w:val="00584109"/>
    <w:rsid w:val="00593430"/>
    <w:rsid w:val="005A0D5A"/>
    <w:rsid w:val="005B2341"/>
    <w:rsid w:val="005C19BF"/>
    <w:rsid w:val="005C3D1B"/>
    <w:rsid w:val="005C49C2"/>
    <w:rsid w:val="005C502B"/>
    <w:rsid w:val="005C6463"/>
    <w:rsid w:val="005D7067"/>
    <w:rsid w:val="005D77DA"/>
    <w:rsid w:val="005D7ECE"/>
    <w:rsid w:val="005E01DB"/>
    <w:rsid w:val="005E4A73"/>
    <w:rsid w:val="005E75F2"/>
    <w:rsid w:val="006025AF"/>
    <w:rsid w:val="00620061"/>
    <w:rsid w:val="00620F6A"/>
    <w:rsid w:val="00630312"/>
    <w:rsid w:val="0063329C"/>
    <w:rsid w:val="00633369"/>
    <w:rsid w:val="006410DE"/>
    <w:rsid w:val="006521CE"/>
    <w:rsid w:val="0065554D"/>
    <w:rsid w:val="00655CF9"/>
    <w:rsid w:val="00660BDD"/>
    <w:rsid w:val="00686A0E"/>
    <w:rsid w:val="00695D7A"/>
    <w:rsid w:val="00697AB4"/>
    <w:rsid w:val="006A1183"/>
    <w:rsid w:val="006A5771"/>
    <w:rsid w:val="006A6D6A"/>
    <w:rsid w:val="006A7AFD"/>
    <w:rsid w:val="006B7F73"/>
    <w:rsid w:val="006C12BD"/>
    <w:rsid w:val="006C605A"/>
    <w:rsid w:val="006C6228"/>
    <w:rsid w:val="006D678F"/>
    <w:rsid w:val="006D6D20"/>
    <w:rsid w:val="006F5D2C"/>
    <w:rsid w:val="006F67CD"/>
    <w:rsid w:val="007157FF"/>
    <w:rsid w:val="007223AC"/>
    <w:rsid w:val="007239A4"/>
    <w:rsid w:val="00723B93"/>
    <w:rsid w:val="00740823"/>
    <w:rsid w:val="00746E52"/>
    <w:rsid w:val="00753DEE"/>
    <w:rsid w:val="00754412"/>
    <w:rsid w:val="0076462A"/>
    <w:rsid w:val="00765B0A"/>
    <w:rsid w:val="00770980"/>
    <w:rsid w:val="00774002"/>
    <w:rsid w:val="00774BB7"/>
    <w:rsid w:val="00777B5B"/>
    <w:rsid w:val="00782597"/>
    <w:rsid w:val="00784CBD"/>
    <w:rsid w:val="00790C48"/>
    <w:rsid w:val="00793662"/>
    <w:rsid w:val="007947E3"/>
    <w:rsid w:val="007948CC"/>
    <w:rsid w:val="00797F64"/>
    <w:rsid w:val="007B1931"/>
    <w:rsid w:val="007C3A93"/>
    <w:rsid w:val="007C5E71"/>
    <w:rsid w:val="007D2B4A"/>
    <w:rsid w:val="007E062F"/>
    <w:rsid w:val="007E0D8E"/>
    <w:rsid w:val="007F041C"/>
    <w:rsid w:val="007F11F8"/>
    <w:rsid w:val="007F54C4"/>
    <w:rsid w:val="0080766A"/>
    <w:rsid w:val="00813F2F"/>
    <w:rsid w:val="008207A5"/>
    <w:rsid w:val="00820CF1"/>
    <w:rsid w:val="008214CE"/>
    <w:rsid w:val="0082320E"/>
    <w:rsid w:val="008247A4"/>
    <w:rsid w:val="0082695F"/>
    <w:rsid w:val="0083121D"/>
    <w:rsid w:val="00831C55"/>
    <w:rsid w:val="00832F91"/>
    <w:rsid w:val="008378D7"/>
    <w:rsid w:val="00843D50"/>
    <w:rsid w:val="00864CF6"/>
    <w:rsid w:val="008662F2"/>
    <w:rsid w:val="00866D06"/>
    <w:rsid w:val="0087468E"/>
    <w:rsid w:val="008747FF"/>
    <w:rsid w:val="00875E41"/>
    <w:rsid w:val="00885298"/>
    <w:rsid w:val="008857C7"/>
    <w:rsid w:val="00897DE4"/>
    <w:rsid w:val="00897FD4"/>
    <w:rsid w:val="008A6921"/>
    <w:rsid w:val="008A7A9C"/>
    <w:rsid w:val="008C4D7D"/>
    <w:rsid w:val="008D377E"/>
    <w:rsid w:val="008E0291"/>
    <w:rsid w:val="008F2E78"/>
    <w:rsid w:val="008F3B4C"/>
    <w:rsid w:val="00900BD5"/>
    <w:rsid w:val="00905E59"/>
    <w:rsid w:val="009127B8"/>
    <w:rsid w:val="009144AD"/>
    <w:rsid w:val="00914FD6"/>
    <w:rsid w:val="0093270B"/>
    <w:rsid w:val="00934F84"/>
    <w:rsid w:val="00937C0E"/>
    <w:rsid w:val="00946BC8"/>
    <w:rsid w:val="00950A25"/>
    <w:rsid w:val="00957EBB"/>
    <w:rsid w:val="00967C6B"/>
    <w:rsid w:val="0098203A"/>
    <w:rsid w:val="00985CED"/>
    <w:rsid w:val="009C0CBF"/>
    <w:rsid w:val="009C3CCE"/>
    <w:rsid w:val="009C5004"/>
    <w:rsid w:val="009D1ED8"/>
    <w:rsid w:val="009D6227"/>
    <w:rsid w:val="009D723C"/>
    <w:rsid w:val="009F6353"/>
    <w:rsid w:val="00A17261"/>
    <w:rsid w:val="00A26F0B"/>
    <w:rsid w:val="00A27C13"/>
    <w:rsid w:val="00A307CF"/>
    <w:rsid w:val="00A31E3C"/>
    <w:rsid w:val="00A37609"/>
    <w:rsid w:val="00A42CF2"/>
    <w:rsid w:val="00A61911"/>
    <w:rsid w:val="00A828AF"/>
    <w:rsid w:val="00A854E4"/>
    <w:rsid w:val="00A90A19"/>
    <w:rsid w:val="00A91812"/>
    <w:rsid w:val="00A92438"/>
    <w:rsid w:val="00A97D78"/>
    <w:rsid w:val="00AA2F14"/>
    <w:rsid w:val="00AB3B67"/>
    <w:rsid w:val="00AC6574"/>
    <w:rsid w:val="00AD0BB2"/>
    <w:rsid w:val="00AD5FBD"/>
    <w:rsid w:val="00AE0C52"/>
    <w:rsid w:val="00AE0F71"/>
    <w:rsid w:val="00AF67E5"/>
    <w:rsid w:val="00B076FF"/>
    <w:rsid w:val="00B10A37"/>
    <w:rsid w:val="00B12432"/>
    <w:rsid w:val="00B1307E"/>
    <w:rsid w:val="00B15462"/>
    <w:rsid w:val="00B1611B"/>
    <w:rsid w:val="00B2539A"/>
    <w:rsid w:val="00B25B5E"/>
    <w:rsid w:val="00B32991"/>
    <w:rsid w:val="00B35D64"/>
    <w:rsid w:val="00B367C5"/>
    <w:rsid w:val="00B368AA"/>
    <w:rsid w:val="00B45AAB"/>
    <w:rsid w:val="00B45C30"/>
    <w:rsid w:val="00B60248"/>
    <w:rsid w:val="00B72519"/>
    <w:rsid w:val="00B874DB"/>
    <w:rsid w:val="00B90D66"/>
    <w:rsid w:val="00B918E0"/>
    <w:rsid w:val="00B95B45"/>
    <w:rsid w:val="00BA28BB"/>
    <w:rsid w:val="00BA69C8"/>
    <w:rsid w:val="00BA7DC7"/>
    <w:rsid w:val="00BB1043"/>
    <w:rsid w:val="00BB3861"/>
    <w:rsid w:val="00BB3D2D"/>
    <w:rsid w:val="00BB41C6"/>
    <w:rsid w:val="00BB4FAD"/>
    <w:rsid w:val="00BB6673"/>
    <w:rsid w:val="00BB7CCB"/>
    <w:rsid w:val="00BC16AD"/>
    <w:rsid w:val="00BC3D1A"/>
    <w:rsid w:val="00BD095E"/>
    <w:rsid w:val="00BE474D"/>
    <w:rsid w:val="00BE4A82"/>
    <w:rsid w:val="00BE6193"/>
    <w:rsid w:val="00BF2E16"/>
    <w:rsid w:val="00BF33B3"/>
    <w:rsid w:val="00BF4501"/>
    <w:rsid w:val="00BF4FB4"/>
    <w:rsid w:val="00BF609B"/>
    <w:rsid w:val="00C008AB"/>
    <w:rsid w:val="00C012D4"/>
    <w:rsid w:val="00C020F4"/>
    <w:rsid w:val="00C02B0B"/>
    <w:rsid w:val="00C04458"/>
    <w:rsid w:val="00C04B63"/>
    <w:rsid w:val="00C11439"/>
    <w:rsid w:val="00C202C3"/>
    <w:rsid w:val="00C234B4"/>
    <w:rsid w:val="00C33230"/>
    <w:rsid w:val="00C3519E"/>
    <w:rsid w:val="00C4511C"/>
    <w:rsid w:val="00C5117E"/>
    <w:rsid w:val="00C52378"/>
    <w:rsid w:val="00C525C2"/>
    <w:rsid w:val="00C54EBE"/>
    <w:rsid w:val="00C56965"/>
    <w:rsid w:val="00C95A38"/>
    <w:rsid w:val="00CA2811"/>
    <w:rsid w:val="00CA503A"/>
    <w:rsid w:val="00CA665B"/>
    <w:rsid w:val="00CB06BF"/>
    <w:rsid w:val="00CB4B80"/>
    <w:rsid w:val="00CB71B8"/>
    <w:rsid w:val="00CC590B"/>
    <w:rsid w:val="00CC5D8C"/>
    <w:rsid w:val="00CC74EF"/>
    <w:rsid w:val="00CD3934"/>
    <w:rsid w:val="00CE38C6"/>
    <w:rsid w:val="00CE67F9"/>
    <w:rsid w:val="00CF3C14"/>
    <w:rsid w:val="00CF6015"/>
    <w:rsid w:val="00D018DC"/>
    <w:rsid w:val="00D02888"/>
    <w:rsid w:val="00D04C7A"/>
    <w:rsid w:val="00D05023"/>
    <w:rsid w:val="00D07F5E"/>
    <w:rsid w:val="00D1466D"/>
    <w:rsid w:val="00D24E99"/>
    <w:rsid w:val="00D26AE6"/>
    <w:rsid w:val="00D326C8"/>
    <w:rsid w:val="00D339FD"/>
    <w:rsid w:val="00D43291"/>
    <w:rsid w:val="00D536C6"/>
    <w:rsid w:val="00D567F9"/>
    <w:rsid w:val="00D6275D"/>
    <w:rsid w:val="00D7279B"/>
    <w:rsid w:val="00D72ADC"/>
    <w:rsid w:val="00D74CBD"/>
    <w:rsid w:val="00D7502D"/>
    <w:rsid w:val="00D80BCF"/>
    <w:rsid w:val="00D819C2"/>
    <w:rsid w:val="00D86F4C"/>
    <w:rsid w:val="00D87013"/>
    <w:rsid w:val="00D904AE"/>
    <w:rsid w:val="00D92C55"/>
    <w:rsid w:val="00DB2122"/>
    <w:rsid w:val="00DC3047"/>
    <w:rsid w:val="00DC3377"/>
    <w:rsid w:val="00DC67D3"/>
    <w:rsid w:val="00DD1177"/>
    <w:rsid w:val="00DD45B8"/>
    <w:rsid w:val="00DD6F31"/>
    <w:rsid w:val="00DE2E55"/>
    <w:rsid w:val="00DE713C"/>
    <w:rsid w:val="00DF19DF"/>
    <w:rsid w:val="00E1693B"/>
    <w:rsid w:val="00E25042"/>
    <w:rsid w:val="00E52C8A"/>
    <w:rsid w:val="00E5669D"/>
    <w:rsid w:val="00E73AD4"/>
    <w:rsid w:val="00E75076"/>
    <w:rsid w:val="00E75F2F"/>
    <w:rsid w:val="00E76271"/>
    <w:rsid w:val="00E777D2"/>
    <w:rsid w:val="00E81B3D"/>
    <w:rsid w:val="00E84DAE"/>
    <w:rsid w:val="00E84E01"/>
    <w:rsid w:val="00E87F32"/>
    <w:rsid w:val="00E948B2"/>
    <w:rsid w:val="00E94E6C"/>
    <w:rsid w:val="00EA652E"/>
    <w:rsid w:val="00EB58CB"/>
    <w:rsid w:val="00ED6C55"/>
    <w:rsid w:val="00ED7808"/>
    <w:rsid w:val="00EE6432"/>
    <w:rsid w:val="00EF1C5A"/>
    <w:rsid w:val="00EF2FB5"/>
    <w:rsid w:val="00F04BDE"/>
    <w:rsid w:val="00F12B5A"/>
    <w:rsid w:val="00F15EDD"/>
    <w:rsid w:val="00F2162F"/>
    <w:rsid w:val="00F24409"/>
    <w:rsid w:val="00F33833"/>
    <w:rsid w:val="00F41501"/>
    <w:rsid w:val="00F42A4E"/>
    <w:rsid w:val="00F42BFA"/>
    <w:rsid w:val="00F4720D"/>
    <w:rsid w:val="00F5100B"/>
    <w:rsid w:val="00F53E07"/>
    <w:rsid w:val="00F6252A"/>
    <w:rsid w:val="00F8230A"/>
    <w:rsid w:val="00F964A6"/>
    <w:rsid w:val="00FB2932"/>
    <w:rsid w:val="00FB41AA"/>
    <w:rsid w:val="00FB4F3B"/>
    <w:rsid w:val="00FC38E2"/>
    <w:rsid w:val="00FC5907"/>
    <w:rsid w:val="00FC75A2"/>
    <w:rsid w:val="00FC7F7E"/>
    <w:rsid w:val="00FD1BE2"/>
    <w:rsid w:val="00FD2BE8"/>
    <w:rsid w:val="00FD2C97"/>
    <w:rsid w:val="00FE42DA"/>
    <w:rsid w:val="00FF2EAE"/>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D250C-A841-43BA-A131-02440794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3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203A"/>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uiPriority w:val="21"/>
    <w:qFormat/>
    <w:rsid w:val="0037535E"/>
    <w:rPr>
      <w:i/>
      <w:iCs/>
      <w:color w:val="5B9BD5"/>
    </w:rPr>
  </w:style>
  <w:style w:type="paragraph" w:styleId="a4">
    <w:name w:val="Balloon Text"/>
    <w:basedOn w:val="a"/>
    <w:link w:val="a5"/>
    <w:uiPriority w:val="99"/>
    <w:semiHidden/>
    <w:unhideWhenUsed/>
    <w:rsid w:val="002137F6"/>
    <w:rPr>
      <w:rFonts w:ascii="Segoe UI" w:hAnsi="Segoe UI" w:cs="Segoe UI"/>
      <w:sz w:val="18"/>
      <w:szCs w:val="18"/>
    </w:rPr>
  </w:style>
  <w:style w:type="character" w:customStyle="1" w:styleId="a5">
    <w:name w:val="Текст выноски Знак"/>
    <w:basedOn w:val="a0"/>
    <w:link w:val="a4"/>
    <w:uiPriority w:val="99"/>
    <w:semiHidden/>
    <w:rsid w:val="002137F6"/>
    <w:rPr>
      <w:rFonts w:ascii="Segoe UI" w:eastAsia="Times New Roman" w:hAnsi="Segoe UI" w:cs="Segoe UI"/>
      <w:sz w:val="18"/>
      <w:szCs w:val="18"/>
      <w:lang w:eastAsia="ru-RU"/>
    </w:rPr>
  </w:style>
  <w:style w:type="character" w:styleId="a6">
    <w:name w:val="Hyperlink"/>
    <w:basedOn w:val="a0"/>
    <w:uiPriority w:val="99"/>
    <w:semiHidden/>
    <w:unhideWhenUsed/>
    <w:rsid w:val="001002C6"/>
    <w:rPr>
      <w:color w:val="0000FF"/>
      <w:u w:val="single"/>
    </w:rPr>
  </w:style>
  <w:style w:type="character" w:styleId="a7">
    <w:name w:val="Emphasis"/>
    <w:basedOn w:val="a0"/>
    <w:uiPriority w:val="20"/>
    <w:qFormat/>
    <w:rsid w:val="00EA652E"/>
    <w:rPr>
      <w:i/>
      <w:iCs/>
    </w:rPr>
  </w:style>
  <w:style w:type="paragraph" w:customStyle="1" w:styleId="s1">
    <w:name w:val="s_1"/>
    <w:basedOn w:val="a"/>
    <w:rsid w:val="00BE6193"/>
    <w:pPr>
      <w:spacing w:before="100" w:beforeAutospacing="1" w:after="100" w:afterAutospacing="1"/>
    </w:pPr>
  </w:style>
  <w:style w:type="character" w:customStyle="1" w:styleId="copytarget">
    <w:name w:val="copy_target"/>
    <w:basedOn w:val="a0"/>
    <w:rsid w:val="00426151"/>
  </w:style>
  <w:style w:type="paragraph" w:styleId="a8">
    <w:name w:val="Normal (Web)"/>
    <w:basedOn w:val="a"/>
    <w:uiPriority w:val="99"/>
    <w:semiHidden/>
    <w:unhideWhenUsed/>
    <w:rsid w:val="004B466A"/>
    <w:pPr>
      <w:spacing w:before="100" w:beforeAutospacing="1" w:after="100" w:afterAutospacing="1"/>
    </w:pPr>
  </w:style>
  <w:style w:type="character" w:customStyle="1" w:styleId="10">
    <w:name w:val="Заголовок 1 Знак"/>
    <w:basedOn w:val="a0"/>
    <w:link w:val="1"/>
    <w:rsid w:val="0098203A"/>
    <w:rPr>
      <w:rFonts w:ascii="Arial" w:eastAsia="Times New Roman" w:hAnsi="Arial" w:cs="Arial"/>
      <w:b/>
      <w:bCs/>
      <w:color w:val="000080"/>
      <w:sz w:val="24"/>
      <w:szCs w:val="24"/>
      <w:lang w:eastAsia="ru-RU"/>
    </w:rPr>
  </w:style>
  <w:style w:type="table" w:styleId="a9">
    <w:name w:val="Table Grid"/>
    <w:basedOn w:val="a1"/>
    <w:uiPriority w:val="59"/>
    <w:rsid w:val="00017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AE0F71"/>
    <w:pPr>
      <w:suppressLineNumbers/>
      <w:suppressAutoHyphens/>
      <w:spacing w:after="200" w:line="276" w:lineRule="auto"/>
    </w:pPr>
    <w:rPr>
      <w:rFonts w:ascii="Calibri" w:eastAsia="SimSun" w:hAnsi="Calibri" w:cs="Calibri"/>
      <w:kern w:val="1"/>
      <w:sz w:val="22"/>
      <w:szCs w:val="22"/>
      <w:lang w:eastAsia="ar-SA"/>
    </w:rPr>
  </w:style>
  <w:style w:type="paragraph" w:customStyle="1" w:styleId="ab">
    <w:name w:val="Обычный (паспорт)"/>
    <w:basedOn w:val="a"/>
    <w:rsid w:val="00AE0F71"/>
    <w:pPr>
      <w:suppressAutoHyphens/>
      <w:spacing w:line="100" w:lineRule="atLeast"/>
    </w:pPr>
    <w:rPr>
      <w:kern w:val="1"/>
      <w:sz w:val="28"/>
      <w:szCs w:val="28"/>
      <w:lang w:eastAsia="ar-SA"/>
    </w:rPr>
  </w:style>
  <w:style w:type="paragraph" w:customStyle="1" w:styleId="ac">
    <w:name w:val="Нормальный (таблица)"/>
    <w:basedOn w:val="a"/>
    <w:rsid w:val="00F8230A"/>
    <w:pPr>
      <w:widowControl w:val="0"/>
      <w:suppressAutoHyphens/>
      <w:spacing w:line="100" w:lineRule="atLeast"/>
      <w:jc w:val="both"/>
    </w:pPr>
    <w:rPr>
      <w:rFonts w:ascii="Arial" w:eastAsia="SimSun" w:hAnsi="Arial" w:cs="font302"/>
      <w:kern w:val="1"/>
      <w:lang w:eastAsia="ar-SA"/>
    </w:rPr>
  </w:style>
  <w:style w:type="paragraph" w:customStyle="1" w:styleId="ConsPlusNormal">
    <w:name w:val="ConsPlusNormal"/>
    <w:rsid w:val="00A92438"/>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83121D"/>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unhideWhenUsed/>
    <w:rsid w:val="00770980"/>
    <w:pPr>
      <w:tabs>
        <w:tab w:val="center" w:pos="4677"/>
        <w:tab w:val="right" w:pos="9355"/>
      </w:tabs>
    </w:pPr>
  </w:style>
  <w:style w:type="character" w:customStyle="1" w:styleId="af">
    <w:name w:val="Верхний колонтитул Знак"/>
    <w:basedOn w:val="a0"/>
    <w:link w:val="ae"/>
    <w:uiPriority w:val="99"/>
    <w:rsid w:val="0077098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70980"/>
    <w:pPr>
      <w:tabs>
        <w:tab w:val="center" w:pos="4677"/>
        <w:tab w:val="right" w:pos="9355"/>
      </w:tabs>
    </w:pPr>
  </w:style>
  <w:style w:type="character" w:customStyle="1" w:styleId="af1">
    <w:name w:val="Нижний колонтитул Знак"/>
    <w:basedOn w:val="a0"/>
    <w:link w:val="af0"/>
    <w:uiPriority w:val="99"/>
    <w:rsid w:val="00770980"/>
    <w:rPr>
      <w:rFonts w:ascii="Times New Roman" w:eastAsia="Times New Roman" w:hAnsi="Times New Roman" w:cs="Times New Roman"/>
      <w:sz w:val="24"/>
      <w:szCs w:val="24"/>
      <w:lang w:eastAsia="ru-RU"/>
    </w:rPr>
  </w:style>
  <w:style w:type="paragraph" w:customStyle="1" w:styleId="ConsPlusNonformat">
    <w:name w:val="ConsPlusNonformat"/>
    <w:rsid w:val="00820C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markedcontent">
    <w:name w:val="markedcontent"/>
    <w:rsid w:val="0082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5939">
      <w:bodyDiv w:val="1"/>
      <w:marLeft w:val="0"/>
      <w:marRight w:val="0"/>
      <w:marTop w:val="0"/>
      <w:marBottom w:val="0"/>
      <w:divBdr>
        <w:top w:val="none" w:sz="0" w:space="0" w:color="auto"/>
        <w:left w:val="none" w:sz="0" w:space="0" w:color="auto"/>
        <w:bottom w:val="none" w:sz="0" w:space="0" w:color="auto"/>
        <w:right w:val="none" w:sz="0" w:space="0" w:color="auto"/>
      </w:divBdr>
    </w:div>
    <w:div w:id="635716432">
      <w:bodyDiv w:val="1"/>
      <w:marLeft w:val="0"/>
      <w:marRight w:val="0"/>
      <w:marTop w:val="0"/>
      <w:marBottom w:val="0"/>
      <w:divBdr>
        <w:top w:val="none" w:sz="0" w:space="0" w:color="auto"/>
        <w:left w:val="none" w:sz="0" w:space="0" w:color="auto"/>
        <w:bottom w:val="none" w:sz="0" w:space="0" w:color="auto"/>
        <w:right w:val="none" w:sz="0" w:space="0" w:color="auto"/>
      </w:divBdr>
    </w:div>
    <w:div w:id="804465418">
      <w:bodyDiv w:val="1"/>
      <w:marLeft w:val="0"/>
      <w:marRight w:val="0"/>
      <w:marTop w:val="0"/>
      <w:marBottom w:val="0"/>
      <w:divBdr>
        <w:top w:val="none" w:sz="0" w:space="0" w:color="auto"/>
        <w:left w:val="none" w:sz="0" w:space="0" w:color="auto"/>
        <w:bottom w:val="none" w:sz="0" w:space="0" w:color="auto"/>
        <w:right w:val="none" w:sz="0" w:space="0" w:color="auto"/>
      </w:divBdr>
    </w:div>
    <w:div w:id="897520757">
      <w:bodyDiv w:val="1"/>
      <w:marLeft w:val="0"/>
      <w:marRight w:val="0"/>
      <w:marTop w:val="0"/>
      <w:marBottom w:val="0"/>
      <w:divBdr>
        <w:top w:val="none" w:sz="0" w:space="0" w:color="auto"/>
        <w:left w:val="none" w:sz="0" w:space="0" w:color="auto"/>
        <w:bottom w:val="none" w:sz="0" w:space="0" w:color="auto"/>
        <w:right w:val="none" w:sz="0" w:space="0" w:color="auto"/>
      </w:divBdr>
    </w:div>
    <w:div w:id="897860472">
      <w:bodyDiv w:val="1"/>
      <w:marLeft w:val="0"/>
      <w:marRight w:val="0"/>
      <w:marTop w:val="0"/>
      <w:marBottom w:val="0"/>
      <w:divBdr>
        <w:top w:val="none" w:sz="0" w:space="0" w:color="auto"/>
        <w:left w:val="none" w:sz="0" w:space="0" w:color="auto"/>
        <w:bottom w:val="none" w:sz="0" w:space="0" w:color="auto"/>
        <w:right w:val="none" w:sz="0" w:space="0" w:color="auto"/>
      </w:divBdr>
    </w:div>
    <w:div w:id="976641347">
      <w:bodyDiv w:val="1"/>
      <w:marLeft w:val="0"/>
      <w:marRight w:val="0"/>
      <w:marTop w:val="0"/>
      <w:marBottom w:val="0"/>
      <w:divBdr>
        <w:top w:val="none" w:sz="0" w:space="0" w:color="auto"/>
        <w:left w:val="none" w:sz="0" w:space="0" w:color="auto"/>
        <w:bottom w:val="none" w:sz="0" w:space="0" w:color="auto"/>
        <w:right w:val="none" w:sz="0" w:space="0" w:color="auto"/>
      </w:divBdr>
    </w:div>
    <w:div w:id="1019041456">
      <w:bodyDiv w:val="1"/>
      <w:marLeft w:val="0"/>
      <w:marRight w:val="0"/>
      <w:marTop w:val="0"/>
      <w:marBottom w:val="0"/>
      <w:divBdr>
        <w:top w:val="none" w:sz="0" w:space="0" w:color="auto"/>
        <w:left w:val="none" w:sz="0" w:space="0" w:color="auto"/>
        <w:bottom w:val="none" w:sz="0" w:space="0" w:color="auto"/>
        <w:right w:val="none" w:sz="0" w:space="0" w:color="auto"/>
      </w:divBdr>
      <w:divsChild>
        <w:div w:id="1591036921">
          <w:marLeft w:val="0"/>
          <w:marRight w:val="0"/>
          <w:marTop w:val="0"/>
          <w:marBottom w:val="0"/>
          <w:divBdr>
            <w:top w:val="none" w:sz="0" w:space="0" w:color="auto"/>
            <w:left w:val="none" w:sz="0" w:space="0" w:color="auto"/>
            <w:bottom w:val="none" w:sz="0" w:space="0" w:color="auto"/>
            <w:right w:val="none" w:sz="0" w:space="0" w:color="auto"/>
          </w:divBdr>
        </w:div>
      </w:divsChild>
    </w:div>
    <w:div w:id="1222717456">
      <w:bodyDiv w:val="1"/>
      <w:marLeft w:val="0"/>
      <w:marRight w:val="0"/>
      <w:marTop w:val="0"/>
      <w:marBottom w:val="0"/>
      <w:divBdr>
        <w:top w:val="none" w:sz="0" w:space="0" w:color="auto"/>
        <w:left w:val="none" w:sz="0" w:space="0" w:color="auto"/>
        <w:bottom w:val="none" w:sz="0" w:space="0" w:color="auto"/>
        <w:right w:val="none" w:sz="0" w:space="0" w:color="auto"/>
      </w:divBdr>
    </w:div>
    <w:div w:id="1239251365">
      <w:bodyDiv w:val="1"/>
      <w:marLeft w:val="0"/>
      <w:marRight w:val="0"/>
      <w:marTop w:val="0"/>
      <w:marBottom w:val="0"/>
      <w:divBdr>
        <w:top w:val="none" w:sz="0" w:space="0" w:color="auto"/>
        <w:left w:val="none" w:sz="0" w:space="0" w:color="auto"/>
        <w:bottom w:val="none" w:sz="0" w:space="0" w:color="auto"/>
        <w:right w:val="none" w:sz="0" w:space="0" w:color="auto"/>
      </w:divBdr>
    </w:div>
    <w:div w:id="1432120755">
      <w:bodyDiv w:val="1"/>
      <w:marLeft w:val="0"/>
      <w:marRight w:val="0"/>
      <w:marTop w:val="0"/>
      <w:marBottom w:val="0"/>
      <w:divBdr>
        <w:top w:val="none" w:sz="0" w:space="0" w:color="auto"/>
        <w:left w:val="none" w:sz="0" w:space="0" w:color="auto"/>
        <w:bottom w:val="none" w:sz="0" w:space="0" w:color="auto"/>
        <w:right w:val="none" w:sz="0" w:space="0" w:color="auto"/>
      </w:divBdr>
    </w:div>
    <w:div w:id="1636640100">
      <w:bodyDiv w:val="1"/>
      <w:marLeft w:val="0"/>
      <w:marRight w:val="0"/>
      <w:marTop w:val="0"/>
      <w:marBottom w:val="0"/>
      <w:divBdr>
        <w:top w:val="none" w:sz="0" w:space="0" w:color="auto"/>
        <w:left w:val="none" w:sz="0" w:space="0" w:color="auto"/>
        <w:bottom w:val="none" w:sz="0" w:space="0" w:color="auto"/>
        <w:right w:val="none" w:sz="0" w:space="0" w:color="auto"/>
      </w:divBdr>
    </w:div>
    <w:div w:id="1840850089">
      <w:bodyDiv w:val="1"/>
      <w:marLeft w:val="0"/>
      <w:marRight w:val="0"/>
      <w:marTop w:val="0"/>
      <w:marBottom w:val="0"/>
      <w:divBdr>
        <w:top w:val="none" w:sz="0" w:space="0" w:color="auto"/>
        <w:left w:val="none" w:sz="0" w:space="0" w:color="auto"/>
        <w:bottom w:val="none" w:sz="0" w:space="0" w:color="auto"/>
        <w:right w:val="none" w:sz="0" w:space="0" w:color="auto"/>
      </w:divBdr>
    </w:div>
    <w:div w:id="1978029735">
      <w:bodyDiv w:val="1"/>
      <w:marLeft w:val="0"/>
      <w:marRight w:val="0"/>
      <w:marTop w:val="0"/>
      <w:marBottom w:val="0"/>
      <w:divBdr>
        <w:top w:val="none" w:sz="0" w:space="0" w:color="auto"/>
        <w:left w:val="none" w:sz="0" w:space="0" w:color="auto"/>
        <w:bottom w:val="none" w:sz="0" w:space="0" w:color="auto"/>
        <w:right w:val="none" w:sz="0" w:space="0" w:color="auto"/>
      </w:divBdr>
    </w:div>
    <w:div w:id="2136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9429" TargetMode="External"/><Relationship Id="rId13" Type="http://schemas.openxmlformats.org/officeDocument/2006/relationships/hyperlink" Target="consultantplus://offline/ref=3B897C6CFF7707B043FEA25CAC43739D935B09FE81406D5FB283FA3DAF42CB038565330B300ADEBAZ4a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897C6CFF7707B043FEA25CAC43739D935B09FE81406D5FB283FA3DAF42CB038565330B300ADEBAZ4a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97C6CFF7707B043FEA25CAC43739D935B09FE81406D5FB283FA3DAF42CB038565330B300ADEBAZ4a5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B897C6CFF7707B043FEA25CAC43739D935B09FE81406D5FB283FA3DAF42CB038565330B300ADEBAZ4a5I" TargetMode="External"/><Relationship Id="rId4" Type="http://schemas.openxmlformats.org/officeDocument/2006/relationships/settings" Target="settings.xml"/><Relationship Id="rId9" Type="http://schemas.openxmlformats.org/officeDocument/2006/relationships/hyperlink" Target="consultantplus://offline/ref=3B897C6CFF7707B043FEA25CAC43739D935B09FE81406D5FB283FA3DAF42CB038565330B300ADEBAZ4a5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0213-4F67-4710-9ACE-AC190861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6090</Words>
  <Characters>34715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KSP</dc:creator>
  <cp:lastModifiedBy>KSP</cp:lastModifiedBy>
  <cp:revision>4</cp:revision>
  <cp:lastPrinted>2023-12-06T05:57:00Z</cp:lastPrinted>
  <dcterms:created xsi:type="dcterms:W3CDTF">2023-12-06T05:53:00Z</dcterms:created>
  <dcterms:modified xsi:type="dcterms:W3CDTF">2023-12-06T06:00:00Z</dcterms:modified>
</cp:coreProperties>
</file>